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F67BC" w14:textId="77777777" w:rsidR="009153D7" w:rsidRDefault="009153D7" w:rsidP="006A179F">
      <w:pPr>
        <w:pStyle w:val="Textkrper"/>
        <w:rPr>
          <w:rFonts w:cstheme="minorHAnsi"/>
          <w:b/>
          <w:bCs/>
          <w:sz w:val="22"/>
          <w:szCs w:val="22"/>
          <w:lang w:val="en-US"/>
        </w:rPr>
      </w:pPr>
    </w:p>
    <w:p w14:paraId="07101884" w14:textId="77777777" w:rsidR="006A179F" w:rsidRDefault="006A179F" w:rsidP="006A179F">
      <w:pPr>
        <w:pStyle w:val="Textkrper"/>
        <w:jc w:val="center"/>
        <w:rPr>
          <w:rFonts w:cstheme="minorHAnsi"/>
          <w:b/>
          <w:bCs/>
          <w:sz w:val="22"/>
          <w:szCs w:val="22"/>
          <w:lang w:val="en-US"/>
        </w:rPr>
      </w:pPr>
    </w:p>
    <w:p w14:paraId="7C16885B" w14:textId="4F97A134" w:rsidR="006A179F" w:rsidRDefault="006A179F" w:rsidP="006A179F">
      <w:pPr>
        <w:pStyle w:val="Textkrper"/>
        <w:jc w:val="center"/>
        <w:rPr>
          <w:rFonts w:cstheme="minorHAnsi"/>
          <w:b/>
          <w:bCs/>
          <w:sz w:val="22"/>
          <w:szCs w:val="22"/>
          <w:lang w:val="en-US"/>
        </w:rPr>
      </w:pPr>
      <w:r>
        <w:rPr>
          <w:noProof/>
          <w:lang w:eastAsia="en-GB"/>
        </w:rPr>
        <w:drawing>
          <wp:inline distT="0" distB="0" distL="0" distR="0" wp14:anchorId="7EFB8A61" wp14:editId="01C43F33">
            <wp:extent cx="2698207" cy="616689"/>
            <wp:effectExtent l="0" t="0" r="0" b="5715"/>
            <wp:docPr id="189270885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708852" name="Grafik 1892708852"/>
                    <pic:cNvPicPr/>
                  </pic:nvPicPr>
                  <pic:blipFill>
                    <a:blip r:embed="rId7">
                      <a:extLst>
                        <a:ext uri="{96DAC541-7B7A-43D3-8B79-37D633B846F1}">
                          <asvg:svgBlip xmlns:asvg="http://schemas.microsoft.com/office/drawing/2016/SVG/main" r:embed="rId8"/>
                        </a:ext>
                      </a:extLst>
                    </a:blip>
                    <a:stretch>
                      <a:fillRect/>
                    </a:stretch>
                  </pic:blipFill>
                  <pic:spPr>
                    <a:xfrm>
                      <a:off x="0" y="0"/>
                      <a:ext cx="2755822" cy="629857"/>
                    </a:xfrm>
                    <a:prstGeom prst="rect">
                      <a:avLst/>
                    </a:prstGeom>
                  </pic:spPr>
                </pic:pic>
              </a:graphicData>
            </a:graphic>
          </wp:inline>
        </w:drawing>
      </w:r>
    </w:p>
    <w:p w14:paraId="717921B8" w14:textId="77777777" w:rsidR="006A179F" w:rsidRDefault="006A179F" w:rsidP="000D6988">
      <w:pPr>
        <w:pStyle w:val="Textkrper"/>
        <w:jc w:val="center"/>
        <w:rPr>
          <w:rFonts w:cstheme="minorHAnsi"/>
          <w:b/>
          <w:bCs/>
          <w:sz w:val="22"/>
          <w:szCs w:val="22"/>
          <w:lang w:val="en-US"/>
        </w:rPr>
      </w:pPr>
    </w:p>
    <w:p w14:paraId="088CA818" w14:textId="077A14B5" w:rsidR="001835F7" w:rsidRPr="002E4D67" w:rsidRDefault="00FC15FC" w:rsidP="000D6988">
      <w:pPr>
        <w:pStyle w:val="Textkrper"/>
        <w:jc w:val="center"/>
        <w:rPr>
          <w:rFonts w:cstheme="minorHAnsi"/>
          <w:b/>
          <w:bCs/>
          <w:sz w:val="22"/>
          <w:szCs w:val="22"/>
          <w:lang w:val="en-US"/>
        </w:rPr>
      </w:pPr>
      <w:r w:rsidRPr="002E4D67">
        <w:rPr>
          <w:rFonts w:cstheme="minorHAnsi"/>
          <w:b/>
          <w:bCs/>
          <w:sz w:val="22"/>
          <w:szCs w:val="22"/>
          <w:lang w:val="en-US"/>
        </w:rPr>
        <w:t>W</w:t>
      </w:r>
      <w:r w:rsidR="001835F7" w:rsidRPr="002E4D67">
        <w:rPr>
          <w:rFonts w:cstheme="minorHAnsi"/>
          <w:b/>
          <w:bCs/>
          <w:sz w:val="22"/>
          <w:szCs w:val="22"/>
          <w:lang w:val="en-US"/>
        </w:rPr>
        <w:t>hite Paper</w:t>
      </w:r>
    </w:p>
    <w:p w14:paraId="17194D61" w14:textId="77777777" w:rsidR="001835F7" w:rsidRPr="002E4D67" w:rsidRDefault="001835F7" w:rsidP="000D6988">
      <w:pPr>
        <w:pStyle w:val="Textkrper"/>
        <w:jc w:val="center"/>
        <w:rPr>
          <w:rFonts w:cstheme="minorHAnsi"/>
          <w:b/>
          <w:bCs/>
          <w:sz w:val="22"/>
          <w:szCs w:val="22"/>
          <w:lang w:val="en-US"/>
        </w:rPr>
      </w:pPr>
      <w:r w:rsidRPr="002E4D67">
        <w:rPr>
          <w:rFonts w:cstheme="minorHAnsi"/>
          <w:b/>
          <w:bCs/>
          <w:sz w:val="22"/>
          <w:szCs w:val="22"/>
          <w:lang w:val="en-US"/>
        </w:rPr>
        <w:t>WYND Utility Token ($WYND)</w:t>
      </w:r>
    </w:p>
    <w:p w14:paraId="586CC9A2" w14:textId="491EBA78" w:rsidR="006E5CE0" w:rsidRPr="002E4D67" w:rsidRDefault="001835F7" w:rsidP="000D6988">
      <w:pPr>
        <w:pStyle w:val="Textkrper"/>
        <w:jc w:val="center"/>
        <w:rPr>
          <w:rFonts w:cstheme="minorHAnsi"/>
          <w:b/>
          <w:bCs/>
          <w:sz w:val="22"/>
          <w:szCs w:val="22"/>
          <w:lang w:val="en-US"/>
        </w:rPr>
      </w:pPr>
      <w:r w:rsidRPr="002E4D67">
        <w:rPr>
          <w:rFonts w:cstheme="minorHAnsi"/>
          <w:b/>
          <w:bCs/>
          <w:sz w:val="22"/>
          <w:szCs w:val="22"/>
          <w:lang w:val="en-US"/>
        </w:rPr>
        <w:t>V1</w:t>
      </w:r>
      <w:r w:rsidR="00023824">
        <w:rPr>
          <w:rFonts w:cstheme="minorHAnsi"/>
          <w:b/>
          <w:bCs/>
          <w:sz w:val="22"/>
          <w:szCs w:val="22"/>
          <w:lang w:val="en-US"/>
        </w:rPr>
        <w:t>.1</w:t>
      </w:r>
      <w:r w:rsidRPr="002E4D67">
        <w:rPr>
          <w:rFonts w:cstheme="minorHAnsi"/>
          <w:b/>
          <w:bCs/>
          <w:sz w:val="22"/>
          <w:szCs w:val="22"/>
          <w:lang w:val="en-US"/>
        </w:rPr>
        <w:t xml:space="preserve"> (</w:t>
      </w:r>
      <w:r w:rsidR="002A3E9D">
        <w:rPr>
          <w:rFonts w:cstheme="minorHAnsi"/>
          <w:b/>
          <w:bCs/>
          <w:sz w:val="22"/>
          <w:szCs w:val="22"/>
          <w:lang w:val="en-US"/>
        </w:rPr>
        <w:t>December</w:t>
      </w:r>
      <w:r w:rsidRPr="002E4D67">
        <w:rPr>
          <w:rFonts w:cstheme="minorHAnsi"/>
          <w:b/>
          <w:bCs/>
          <w:sz w:val="22"/>
          <w:szCs w:val="22"/>
          <w:lang w:val="en-US"/>
        </w:rPr>
        <w:t xml:space="preserve"> 2025)</w:t>
      </w:r>
    </w:p>
    <w:tbl>
      <w:tblPr>
        <w:tblStyle w:val="Tabellenraster"/>
        <w:tblW w:w="0" w:type="auto"/>
        <w:tblLayout w:type="fixed"/>
        <w:tblLook w:val="04A0" w:firstRow="1" w:lastRow="0" w:firstColumn="1" w:lastColumn="0" w:noHBand="0" w:noVBand="1"/>
      </w:tblPr>
      <w:tblGrid>
        <w:gridCol w:w="1985"/>
        <w:gridCol w:w="6371"/>
      </w:tblGrid>
      <w:tr w:rsidR="00101450" w:rsidRPr="002E4D67" w14:paraId="7E5F3844" w14:textId="77777777" w:rsidTr="00707620">
        <w:tc>
          <w:tcPr>
            <w:tcW w:w="1985" w:type="dxa"/>
            <w:tcBorders>
              <w:bottom w:val="single" w:sz="4" w:space="0" w:color="auto"/>
            </w:tcBorders>
          </w:tcPr>
          <w:p w14:paraId="20F59AF1" w14:textId="3C964755" w:rsidR="00101450" w:rsidRPr="002E4D67" w:rsidRDefault="00101450" w:rsidP="000D6988">
            <w:pPr>
              <w:pStyle w:val="berschrift1"/>
              <w:rPr>
                <w:lang w:val="en-US"/>
              </w:rPr>
            </w:pPr>
            <w:bookmarkStart w:id="0" w:name="_Toc213164117"/>
            <w:bookmarkStart w:id="1" w:name="_Toc213179101"/>
            <w:r w:rsidRPr="002E4D67">
              <w:rPr>
                <w:lang w:val="en-US"/>
              </w:rPr>
              <w:lastRenderedPageBreak/>
              <w:t>00 Table of Content</w:t>
            </w:r>
            <w:bookmarkEnd w:id="0"/>
            <w:bookmarkEnd w:id="1"/>
          </w:p>
        </w:tc>
        <w:tc>
          <w:tcPr>
            <w:tcW w:w="6371" w:type="dxa"/>
            <w:tcBorders>
              <w:bottom w:val="single" w:sz="4" w:space="0" w:color="auto"/>
            </w:tcBorders>
          </w:tcPr>
          <w:sdt>
            <w:sdtPr>
              <w:rPr>
                <w:lang w:val="en-US"/>
              </w:rPr>
              <w:id w:val="702517893"/>
              <w:docPartObj>
                <w:docPartGallery w:val="Table of Contents"/>
                <w:docPartUnique/>
              </w:docPartObj>
            </w:sdtPr>
            <w:sdtEndPr>
              <w:rPr>
                <w:bCs/>
              </w:rPr>
            </w:sdtEndPr>
            <w:sdtContent>
              <w:p w14:paraId="2E661AF0" w14:textId="27EB8FE7" w:rsidR="00101450" w:rsidRPr="002E4D67" w:rsidRDefault="00101450" w:rsidP="000D6988">
                <w:pPr>
                  <w:pStyle w:val="Textkrper"/>
                  <w:keepNext/>
                  <w:keepLines/>
                  <w:rPr>
                    <w:lang w:val="en-US"/>
                  </w:rPr>
                </w:pPr>
              </w:p>
              <w:p w14:paraId="15A92CD6" w14:textId="3ED5281F" w:rsidR="00C607E5" w:rsidRPr="002E4D67" w:rsidRDefault="00101450">
                <w:pPr>
                  <w:pStyle w:val="Verzeichnis1"/>
                  <w:rPr>
                    <w:rFonts w:asciiTheme="minorHAnsi" w:eastAsiaTheme="minorEastAsia" w:hAnsiTheme="minorHAnsi" w:cstheme="minorBidi"/>
                    <w:b w:val="0"/>
                    <w:noProof/>
                    <w:kern w:val="2"/>
                    <w:sz w:val="24"/>
                    <w:lang w:val="en-US"/>
                    <w14:ligatures w14:val="standardContextual"/>
                  </w:rPr>
                </w:pPr>
                <w:r w:rsidRPr="002E4D67">
                  <w:rPr>
                    <w:szCs w:val="20"/>
                    <w:lang w:val="en-US"/>
                  </w:rPr>
                  <w:fldChar w:fldCharType="begin"/>
                </w:r>
                <w:r w:rsidRPr="002E4D67">
                  <w:rPr>
                    <w:szCs w:val="20"/>
                    <w:lang w:val="en-US"/>
                  </w:rPr>
                  <w:instrText xml:space="preserve"> TOC \o "1-3" \h \z \u </w:instrText>
                </w:r>
                <w:r w:rsidRPr="002E4D67">
                  <w:rPr>
                    <w:szCs w:val="20"/>
                    <w:lang w:val="en-US"/>
                  </w:rPr>
                  <w:fldChar w:fldCharType="separate"/>
                </w:r>
                <w:hyperlink w:anchor="_Toc213179101" w:history="1">
                  <w:r w:rsidR="00C607E5" w:rsidRPr="002E4D67">
                    <w:rPr>
                      <w:rStyle w:val="Hyperlink"/>
                      <w:noProof/>
                      <w:lang w:val="en-US"/>
                    </w:rPr>
                    <w:t>00 Table of Content</w:t>
                  </w:r>
                  <w:r w:rsidR="00C607E5" w:rsidRPr="002E4D67">
                    <w:rPr>
                      <w:noProof/>
                      <w:webHidden/>
                      <w:lang w:val="en-US"/>
                    </w:rPr>
                    <w:tab/>
                  </w:r>
                  <w:r w:rsidR="00C607E5" w:rsidRPr="002E4D67">
                    <w:rPr>
                      <w:noProof/>
                      <w:webHidden/>
                      <w:lang w:val="en-US"/>
                    </w:rPr>
                    <w:fldChar w:fldCharType="begin"/>
                  </w:r>
                  <w:r w:rsidR="00C607E5" w:rsidRPr="002E4D67">
                    <w:rPr>
                      <w:noProof/>
                      <w:webHidden/>
                      <w:lang w:val="en-US"/>
                    </w:rPr>
                    <w:instrText xml:space="preserve"> PAGEREF _Toc213179101 \h </w:instrText>
                  </w:r>
                  <w:r w:rsidR="00C607E5" w:rsidRPr="002E4D67">
                    <w:rPr>
                      <w:noProof/>
                      <w:webHidden/>
                      <w:lang w:val="en-US"/>
                    </w:rPr>
                  </w:r>
                  <w:r w:rsidR="00C607E5" w:rsidRPr="002E4D67">
                    <w:rPr>
                      <w:noProof/>
                      <w:webHidden/>
                      <w:lang w:val="en-US"/>
                    </w:rPr>
                    <w:fldChar w:fldCharType="separate"/>
                  </w:r>
                  <w:r w:rsidR="00372F12">
                    <w:rPr>
                      <w:noProof/>
                      <w:webHidden/>
                      <w:lang w:val="en-US"/>
                    </w:rPr>
                    <w:t>2</w:t>
                  </w:r>
                  <w:r w:rsidR="00C607E5" w:rsidRPr="002E4D67">
                    <w:rPr>
                      <w:noProof/>
                      <w:webHidden/>
                      <w:lang w:val="en-US"/>
                    </w:rPr>
                    <w:fldChar w:fldCharType="end"/>
                  </w:r>
                </w:hyperlink>
              </w:p>
              <w:p w14:paraId="1629CDCF" w14:textId="0CCDBF76"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02" w:history="1">
                  <w:r w:rsidRPr="002E4D67">
                    <w:rPr>
                      <w:rStyle w:val="Hyperlink"/>
                      <w:noProof/>
                      <w:lang w:val="en-US"/>
                    </w:rPr>
                    <w:t>01 Date of Notification</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_Toc213179102 \h </w:instrText>
                  </w:r>
                  <w:r w:rsidRPr="002E4D67">
                    <w:rPr>
                      <w:noProof/>
                      <w:webHidden/>
                      <w:lang w:val="en-US"/>
                    </w:rPr>
                  </w:r>
                  <w:r w:rsidRPr="002E4D67">
                    <w:rPr>
                      <w:noProof/>
                      <w:webHidden/>
                      <w:lang w:val="en-US"/>
                    </w:rPr>
                    <w:fldChar w:fldCharType="separate"/>
                  </w:r>
                  <w:r w:rsidR="00372F12">
                    <w:rPr>
                      <w:noProof/>
                      <w:webHidden/>
                      <w:lang w:val="en-US"/>
                    </w:rPr>
                    <w:t>7</w:t>
                  </w:r>
                  <w:r w:rsidRPr="002E4D67">
                    <w:rPr>
                      <w:noProof/>
                      <w:webHidden/>
                      <w:lang w:val="en-US"/>
                    </w:rPr>
                    <w:fldChar w:fldCharType="end"/>
                  </w:r>
                </w:hyperlink>
              </w:p>
              <w:p w14:paraId="5CC93D4A" w14:textId="6DEF9F1C"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03" w:history="1">
                  <w:r w:rsidRPr="002E4D67">
                    <w:rPr>
                      <w:rStyle w:val="Hyperlink"/>
                      <w:noProof/>
                      <w:lang w:val="en-US"/>
                    </w:rPr>
                    <w:t>02 Statement in accordance with Article 6(3) of Regulation (EU) 2023/1114</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_Toc213179103 \h </w:instrText>
                  </w:r>
                  <w:r w:rsidRPr="002E4D67">
                    <w:rPr>
                      <w:noProof/>
                      <w:webHidden/>
                      <w:lang w:val="en-US"/>
                    </w:rPr>
                  </w:r>
                  <w:r w:rsidRPr="002E4D67">
                    <w:rPr>
                      <w:noProof/>
                      <w:webHidden/>
                      <w:lang w:val="en-US"/>
                    </w:rPr>
                    <w:fldChar w:fldCharType="separate"/>
                  </w:r>
                  <w:r w:rsidR="00372F12">
                    <w:rPr>
                      <w:noProof/>
                      <w:webHidden/>
                      <w:lang w:val="en-US"/>
                    </w:rPr>
                    <w:t>7</w:t>
                  </w:r>
                  <w:r w:rsidRPr="002E4D67">
                    <w:rPr>
                      <w:noProof/>
                      <w:webHidden/>
                      <w:lang w:val="en-US"/>
                    </w:rPr>
                    <w:fldChar w:fldCharType="end"/>
                  </w:r>
                </w:hyperlink>
              </w:p>
              <w:p w14:paraId="2F41177A" w14:textId="56F724EF"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04" w:history="1">
                  <w:r w:rsidRPr="002E4D67">
                    <w:rPr>
                      <w:rStyle w:val="Hyperlink"/>
                      <w:noProof/>
                      <w:lang w:val="en-US"/>
                    </w:rPr>
                    <w:t>03 Compliance statement in accordance with Article 6(6) of Regulation (EU) 2023/1114</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_Toc213179104 \h </w:instrText>
                  </w:r>
                  <w:r w:rsidRPr="002E4D67">
                    <w:rPr>
                      <w:noProof/>
                      <w:webHidden/>
                      <w:lang w:val="en-US"/>
                    </w:rPr>
                  </w:r>
                  <w:r w:rsidRPr="002E4D67">
                    <w:rPr>
                      <w:noProof/>
                      <w:webHidden/>
                      <w:lang w:val="en-US"/>
                    </w:rPr>
                    <w:fldChar w:fldCharType="separate"/>
                  </w:r>
                  <w:r w:rsidR="00372F12">
                    <w:rPr>
                      <w:noProof/>
                      <w:webHidden/>
                      <w:lang w:val="en-US"/>
                    </w:rPr>
                    <w:t>7</w:t>
                  </w:r>
                  <w:r w:rsidRPr="002E4D67">
                    <w:rPr>
                      <w:noProof/>
                      <w:webHidden/>
                      <w:lang w:val="en-US"/>
                    </w:rPr>
                    <w:fldChar w:fldCharType="end"/>
                  </w:r>
                </w:hyperlink>
              </w:p>
              <w:p w14:paraId="6F2E63C2" w14:textId="531EBE58"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05" w:history="1">
                  <w:r w:rsidRPr="002E4D67">
                    <w:rPr>
                      <w:rStyle w:val="Hyperlink"/>
                      <w:noProof/>
                      <w:lang w:val="en-US"/>
                    </w:rPr>
                    <w:t>04 Statement in accordance with Article 6(5), points (a), (b), (c) of Regulation (EU) 2023/1114</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_Toc213179105 \h </w:instrText>
                  </w:r>
                  <w:r w:rsidRPr="002E4D67">
                    <w:rPr>
                      <w:noProof/>
                      <w:webHidden/>
                      <w:lang w:val="en-US"/>
                    </w:rPr>
                  </w:r>
                  <w:r w:rsidRPr="002E4D67">
                    <w:rPr>
                      <w:noProof/>
                      <w:webHidden/>
                      <w:lang w:val="en-US"/>
                    </w:rPr>
                    <w:fldChar w:fldCharType="separate"/>
                  </w:r>
                  <w:r w:rsidR="00372F12">
                    <w:rPr>
                      <w:noProof/>
                      <w:webHidden/>
                      <w:lang w:val="en-US"/>
                    </w:rPr>
                    <w:t>8</w:t>
                  </w:r>
                  <w:r w:rsidRPr="002E4D67">
                    <w:rPr>
                      <w:noProof/>
                      <w:webHidden/>
                      <w:lang w:val="en-US"/>
                    </w:rPr>
                    <w:fldChar w:fldCharType="end"/>
                  </w:r>
                </w:hyperlink>
              </w:p>
              <w:p w14:paraId="61B5EB68" w14:textId="0B938504"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06" w:history="1">
                  <w:r w:rsidRPr="002E4D67">
                    <w:rPr>
                      <w:rStyle w:val="Hyperlink"/>
                      <w:noProof/>
                      <w:lang w:val="en-US"/>
                    </w:rPr>
                    <w:t>05 Statement in accordance with Article 6(5), point (d) of Regulation (EU) 2023/1114</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_Toc213179106 \h </w:instrText>
                  </w:r>
                  <w:r w:rsidRPr="002E4D67">
                    <w:rPr>
                      <w:noProof/>
                      <w:webHidden/>
                      <w:lang w:val="en-US"/>
                    </w:rPr>
                  </w:r>
                  <w:r w:rsidRPr="002E4D67">
                    <w:rPr>
                      <w:noProof/>
                      <w:webHidden/>
                      <w:lang w:val="en-US"/>
                    </w:rPr>
                    <w:fldChar w:fldCharType="separate"/>
                  </w:r>
                  <w:r w:rsidR="00372F12">
                    <w:rPr>
                      <w:noProof/>
                      <w:webHidden/>
                      <w:lang w:val="en-US"/>
                    </w:rPr>
                    <w:t>8</w:t>
                  </w:r>
                  <w:r w:rsidRPr="002E4D67">
                    <w:rPr>
                      <w:noProof/>
                      <w:webHidden/>
                      <w:lang w:val="en-US"/>
                    </w:rPr>
                    <w:fldChar w:fldCharType="end"/>
                  </w:r>
                </w:hyperlink>
              </w:p>
              <w:p w14:paraId="1B14DE35" w14:textId="25768C6F"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07" w:history="1">
                  <w:r w:rsidRPr="002E4D67">
                    <w:rPr>
                      <w:rStyle w:val="Hyperlink"/>
                      <w:noProof/>
                      <w:lang w:val="en-US"/>
                    </w:rPr>
                    <w:t>06 Statement in accordance with Article 6(5), points (e) and (f) of Regulation (EU) 2023/1114</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_Toc213179107 \h </w:instrText>
                  </w:r>
                  <w:r w:rsidRPr="002E4D67">
                    <w:rPr>
                      <w:noProof/>
                      <w:webHidden/>
                      <w:lang w:val="en-US"/>
                    </w:rPr>
                  </w:r>
                  <w:r w:rsidRPr="002E4D67">
                    <w:rPr>
                      <w:noProof/>
                      <w:webHidden/>
                      <w:lang w:val="en-US"/>
                    </w:rPr>
                    <w:fldChar w:fldCharType="separate"/>
                  </w:r>
                  <w:r w:rsidR="00372F12">
                    <w:rPr>
                      <w:noProof/>
                      <w:webHidden/>
                      <w:lang w:val="en-US"/>
                    </w:rPr>
                    <w:t>8</w:t>
                  </w:r>
                  <w:r w:rsidRPr="002E4D67">
                    <w:rPr>
                      <w:noProof/>
                      <w:webHidden/>
                      <w:lang w:val="en-US"/>
                    </w:rPr>
                    <w:fldChar w:fldCharType="end"/>
                  </w:r>
                </w:hyperlink>
              </w:p>
              <w:p w14:paraId="0A9D608A" w14:textId="359617FA"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08" w:history="1">
                  <w:r w:rsidRPr="002E4D67">
                    <w:rPr>
                      <w:rStyle w:val="Hyperlink"/>
                      <w:noProof/>
                      <w:lang w:val="en-US"/>
                    </w:rPr>
                    <w:t>07 Warning in accordance with Article 6(7), second subparagraph, of Regulation (EU) 2023/1114</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_Toc213179108 \h </w:instrText>
                  </w:r>
                  <w:r w:rsidRPr="002E4D67">
                    <w:rPr>
                      <w:noProof/>
                      <w:webHidden/>
                      <w:lang w:val="en-US"/>
                    </w:rPr>
                  </w:r>
                  <w:r w:rsidRPr="002E4D67">
                    <w:rPr>
                      <w:noProof/>
                      <w:webHidden/>
                      <w:lang w:val="en-US"/>
                    </w:rPr>
                    <w:fldChar w:fldCharType="separate"/>
                  </w:r>
                  <w:r w:rsidR="00372F12">
                    <w:rPr>
                      <w:noProof/>
                      <w:webHidden/>
                      <w:lang w:val="en-US"/>
                    </w:rPr>
                    <w:t>8</w:t>
                  </w:r>
                  <w:r w:rsidRPr="002E4D67">
                    <w:rPr>
                      <w:noProof/>
                      <w:webHidden/>
                      <w:lang w:val="en-US"/>
                    </w:rPr>
                    <w:fldChar w:fldCharType="end"/>
                  </w:r>
                </w:hyperlink>
              </w:p>
              <w:p w14:paraId="528D33F9" w14:textId="7FB2DD78"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09" w:history="1">
                  <w:r w:rsidRPr="002E4D67">
                    <w:rPr>
                      <w:rStyle w:val="Hyperlink"/>
                      <w:noProof/>
                      <w:lang w:val="en-US"/>
                    </w:rPr>
                    <w:t>08 Characteristics of the crypto-asset</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_Toc213179109 \h </w:instrText>
                  </w:r>
                  <w:r w:rsidRPr="002E4D67">
                    <w:rPr>
                      <w:noProof/>
                      <w:webHidden/>
                      <w:lang w:val="en-US"/>
                    </w:rPr>
                  </w:r>
                  <w:r w:rsidRPr="002E4D67">
                    <w:rPr>
                      <w:noProof/>
                      <w:webHidden/>
                      <w:lang w:val="en-US"/>
                    </w:rPr>
                    <w:fldChar w:fldCharType="separate"/>
                  </w:r>
                  <w:r w:rsidR="00372F12">
                    <w:rPr>
                      <w:noProof/>
                      <w:webHidden/>
                      <w:lang w:val="en-US"/>
                    </w:rPr>
                    <w:t>9</w:t>
                  </w:r>
                  <w:r w:rsidRPr="002E4D67">
                    <w:rPr>
                      <w:noProof/>
                      <w:webHidden/>
                      <w:lang w:val="en-US"/>
                    </w:rPr>
                    <w:fldChar w:fldCharType="end"/>
                  </w:r>
                </w:hyperlink>
              </w:p>
              <w:p w14:paraId="0E0FA6E2" w14:textId="3F75983E"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10" w:history="1">
                  <w:r w:rsidRPr="002E4D67">
                    <w:rPr>
                      <w:rStyle w:val="Hyperlink"/>
                      <w:noProof/>
                      <w:lang w:val="en-US"/>
                    </w:rPr>
                    <w:t>09 Information about the quality and quantity of goods or services to which the utility tokens give access and restrictions on the transferability</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_Toc213179110 \h </w:instrText>
                  </w:r>
                  <w:r w:rsidRPr="002E4D67">
                    <w:rPr>
                      <w:noProof/>
                      <w:webHidden/>
                      <w:lang w:val="en-US"/>
                    </w:rPr>
                  </w:r>
                  <w:r w:rsidRPr="002E4D67">
                    <w:rPr>
                      <w:noProof/>
                      <w:webHidden/>
                      <w:lang w:val="en-US"/>
                    </w:rPr>
                    <w:fldChar w:fldCharType="separate"/>
                  </w:r>
                  <w:r w:rsidR="00372F12">
                    <w:rPr>
                      <w:noProof/>
                      <w:webHidden/>
                      <w:lang w:val="en-US"/>
                    </w:rPr>
                    <w:t>13</w:t>
                  </w:r>
                  <w:r w:rsidRPr="002E4D67">
                    <w:rPr>
                      <w:noProof/>
                      <w:webHidden/>
                      <w:lang w:val="en-US"/>
                    </w:rPr>
                    <w:fldChar w:fldCharType="end"/>
                  </w:r>
                </w:hyperlink>
              </w:p>
              <w:p w14:paraId="0981F443" w14:textId="47C250B1"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11" w:history="1">
                  <w:r w:rsidRPr="002E4D67">
                    <w:rPr>
                      <w:rStyle w:val="Hyperlink"/>
                      <w:noProof/>
                      <w:lang w:val="en-US"/>
                    </w:rPr>
                    <w:t>10 Key information about the offer to the public or admission to trading</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_Toc213179111 \h </w:instrText>
                  </w:r>
                  <w:r w:rsidRPr="002E4D67">
                    <w:rPr>
                      <w:noProof/>
                      <w:webHidden/>
                      <w:lang w:val="en-US"/>
                    </w:rPr>
                  </w:r>
                  <w:r w:rsidRPr="002E4D67">
                    <w:rPr>
                      <w:noProof/>
                      <w:webHidden/>
                      <w:lang w:val="en-US"/>
                    </w:rPr>
                    <w:fldChar w:fldCharType="separate"/>
                  </w:r>
                  <w:r w:rsidR="00372F12">
                    <w:rPr>
                      <w:noProof/>
                      <w:webHidden/>
                      <w:lang w:val="en-US"/>
                    </w:rPr>
                    <w:t>15</w:t>
                  </w:r>
                  <w:r w:rsidRPr="002E4D67">
                    <w:rPr>
                      <w:noProof/>
                      <w:webHidden/>
                      <w:lang w:val="en-US"/>
                    </w:rPr>
                    <w:fldChar w:fldCharType="end"/>
                  </w:r>
                </w:hyperlink>
              </w:p>
              <w:p w14:paraId="59845EBE" w14:textId="4B60DC59"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12" w:history="1">
                  <w:r w:rsidRPr="002E4D67">
                    <w:rPr>
                      <w:rStyle w:val="Hyperlink"/>
                      <w:noProof/>
                      <w:lang w:val="en-US"/>
                    </w:rPr>
                    <w:t>Part A – Information about the offeror or the person seeking admission to trading</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_Toc213179112 \h </w:instrText>
                  </w:r>
                  <w:r w:rsidRPr="002E4D67">
                    <w:rPr>
                      <w:noProof/>
                      <w:webHidden/>
                      <w:lang w:val="en-US"/>
                    </w:rPr>
                  </w:r>
                  <w:r w:rsidRPr="002E4D67">
                    <w:rPr>
                      <w:noProof/>
                      <w:webHidden/>
                      <w:lang w:val="en-US"/>
                    </w:rPr>
                    <w:fldChar w:fldCharType="separate"/>
                  </w:r>
                  <w:r w:rsidR="00372F12">
                    <w:rPr>
                      <w:noProof/>
                      <w:webHidden/>
                      <w:lang w:val="en-US"/>
                    </w:rPr>
                    <w:t>18</w:t>
                  </w:r>
                  <w:r w:rsidRPr="002E4D67">
                    <w:rPr>
                      <w:noProof/>
                      <w:webHidden/>
                      <w:lang w:val="en-US"/>
                    </w:rPr>
                    <w:fldChar w:fldCharType="end"/>
                  </w:r>
                </w:hyperlink>
              </w:p>
              <w:p w14:paraId="463385E6" w14:textId="2BC53A71"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13" w:history="1">
                  <w:r w:rsidRPr="002E4D67">
                    <w:rPr>
                      <w:rStyle w:val="Hyperlink"/>
                      <w:noProof/>
                      <w:lang w:val="en-US"/>
                    </w:rPr>
                    <w:t>A.1 Name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_Toc213179113 \h </w:instrText>
                  </w:r>
                  <w:r w:rsidRPr="002E4D67">
                    <w:rPr>
                      <w:noProof/>
                      <w:webHidden/>
                      <w:lang w:val="en-US"/>
                    </w:rPr>
                  </w:r>
                  <w:r w:rsidRPr="002E4D67">
                    <w:rPr>
                      <w:noProof/>
                      <w:webHidden/>
                      <w:lang w:val="en-US"/>
                    </w:rPr>
                    <w:fldChar w:fldCharType="separate"/>
                  </w:r>
                  <w:r w:rsidR="00372F12">
                    <w:rPr>
                      <w:noProof/>
                      <w:webHidden/>
                      <w:lang w:val="en-US"/>
                    </w:rPr>
                    <w:t>19</w:t>
                  </w:r>
                  <w:r w:rsidRPr="002E4D67">
                    <w:rPr>
                      <w:noProof/>
                      <w:webHidden/>
                      <w:lang w:val="en-US"/>
                    </w:rPr>
                    <w:fldChar w:fldCharType="end"/>
                  </w:r>
                </w:hyperlink>
              </w:p>
              <w:p w14:paraId="41A4B174" w14:textId="202690F6"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14" w:history="1">
                  <w:r w:rsidRPr="002E4D67">
                    <w:rPr>
                      <w:rStyle w:val="Hyperlink"/>
                      <w:noProof/>
                      <w:lang w:val="en-US"/>
                    </w:rPr>
                    <w:t>A.2 Legal Form</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_Toc213179114 \h </w:instrText>
                  </w:r>
                  <w:r w:rsidRPr="002E4D67">
                    <w:rPr>
                      <w:noProof/>
                      <w:webHidden/>
                      <w:lang w:val="en-US"/>
                    </w:rPr>
                  </w:r>
                  <w:r w:rsidRPr="002E4D67">
                    <w:rPr>
                      <w:noProof/>
                      <w:webHidden/>
                      <w:lang w:val="en-US"/>
                    </w:rPr>
                    <w:fldChar w:fldCharType="separate"/>
                  </w:r>
                  <w:r w:rsidR="00372F12">
                    <w:rPr>
                      <w:noProof/>
                      <w:webHidden/>
                      <w:lang w:val="en-US"/>
                    </w:rPr>
                    <w:t>19</w:t>
                  </w:r>
                  <w:r w:rsidRPr="002E4D67">
                    <w:rPr>
                      <w:noProof/>
                      <w:webHidden/>
                      <w:lang w:val="en-US"/>
                    </w:rPr>
                    <w:fldChar w:fldCharType="end"/>
                  </w:r>
                </w:hyperlink>
              </w:p>
              <w:p w14:paraId="6638945E" w14:textId="7E50AE32"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15" w:history="1">
                  <w:r w:rsidRPr="002E4D67">
                    <w:rPr>
                      <w:rStyle w:val="Hyperlink"/>
                      <w:noProof/>
                      <w:lang w:val="en-US"/>
                    </w:rPr>
                    <w:t>A.3 Registered address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_Toc213179115 \h </w:instrText>
                  </w:r>
                  <w:r w:rsidRPr="002E4D67">
                    <w:rPr>
                      <w:noProof/>
                      <w:webHidden/>
                      <w:lang w:val="en-US"/>
                    </w:rPr>
                  </w:r>
                  <w:r w:rsidRPr="002E4D67">
                    <w:rPr>
                      <w:noProof/>
                      <w:webHidden/>
                      <w:lang w:val="en-US"/>
                    </w:rPr>
                    <w:fldChar w:fldCharType="separate"/>
                  </w:r>
                  <w:r w:rsidR="00372F12">
                    <w:rPr>
                      <w:noProof/>
                      <w:webHidden/>
                      <w:lang w:val="en-US"/>
                    </w:rPr>
                    <w:t>19</w:t>
                  </w:r>
                  <w:r w:rsidRPr="002E4D67">
                    <w:rPr>
                      <w:noProof/>
                      <w:webHidden/>
                      <w:lang w:val="en-US"/>
                    </w:rPr>
                    <w:fldChar w:fldCharType="end"/>
                  </w:r>
                </w:hyperlink>
              </w:p>
              <w:p w14:paraId="23A0C333" w14:textId="0E3A29CB"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16" w:history="1">
                  <w:r w:rsidRPr="002E4D67">
                    <w:rPr>
                      <w:rStyle w:val="Hyperlink"/>
                      <w:noProof/>
                      <w:lang w:val="en-US"/>
                    </w:rPr>
                    <w:t>A.4 Head office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_Toc213179116 \h </w:instrText>
                  </w:r>
                  <w:r w:rsidRPr="002E4D67">
                    <w:rPr>
                      <w:noProof/>
                      <w:webHidden/>
                      <w:lang w:val="en-US"/>
                    </w:rPr>
                  </w:r>
                  <w:r w:rsidRPr="002E4D67">
                    <w:rPr>
                      <w:noProof/>
                      <w:webHidden/>
                      <w:lang w:val="en-US"/>
                    </w:rPr>
                    <w:fldChar w:fldCharType="separate"/>
                  </w:r>
                  <w:r w:rsidR="00372F12">
                    <w:rPr>
                      <w:noProof/>
                      <w:webHidden/>
                      <w:lang w:val="en-US"/>
                    </w:rPr>
                    <w:t>19</w:t>
                  </w:r>
                  <w:r w:rsidRPr="002E4D67">
                    <w:rPr>
                      <w:noProof/>
                      <w:webHidden/>
                      <w:lang w:val="en-US"/>
                    </w:rPr>
                    <w:fldChar w:fldCharType="end"/>
                  </w:r>
                </w:hyperlink>
              </w:p>
              <w:p w14:paraId="696D4854" w14:textId="125D1AFD"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17" w:history="1">
                  <w:r w:rsidRPr="002E4D67">
                    <w:rPr>
                      <w:rStyle w:val="Hyperlink"/>
                      <w:noProof/>
                      <w:lang w:val="en-US"/>
                    </w:rPr>
                    <w:t>A.5 Registration date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_Toc213179117 \h </w:instrText>
                  </w:r>
                  <w:r w:rsidRPr="002E4D67">
                    <w:rPr>
                      <w:noProof/>
                      <w:webHidden/>
                      <w:lang w:val="en-US"/>
                    </w:rPr>
                  </w:r>
                  <w:r w:rsidRPr="002E4D67">
                    <w:rPr>
                      <w:noProof/>
                      <w:webHidden/>
                      <w:lang w:val="en-US"/>
                    </w:rPr>
                    <w:fldChar w:fldCharType="separate"/>
                  </w:r>
                  <w:r w:rsidR="00372F12">
                    <w:rPr>
                      <w:noProof/>
                      <w:webHidden/>
                      <w:lang w:val="en-US"/>
                    </w:rPr>
                    <w:t>19</w:t>
                  </w:r>
                  <w:r w:rsidRPr="002E4D67">
                    <w:rPr>
                      <w:noProof/>
                      <w:webHidden/>
                      <w:lang w:val="en-US"/>
                    </w:rPr>
                    <w:fldChar w:fldCharType="end"/>
                  </w:r>
                </w:hyperlink>
              </w:p>
              <w:p w14:paraId="207C9F53" w14:textId="0BED2817"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18" w:history="1">
                  <w:r w:rsidRPr="002E4D67">
                    <w:rPr>
                      <w:rStyle w:val="Hyperlink"/>
                      <w:noProof/>
                      <w:lang w:val="en-US"/>
                    </w:rPr>
                    <w:t>A.6 Legal entity identifier (LEI)</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_Toc213179118 \h </w:instrText>
                  </w:r>
                  <w:r w:rsidRPr="002E4D67">
                    <w:rPr>
                      <w:noProof/>
                      <w:webHidden/>
                      <w:lang w:val="en-US"/>
                    </w:rPr>
                  </w:r>
                  <w:r w:rsidRPr="002E4D67">
                    <w:rPr>
                      <w:noProof/>
                      <w:webHidden/>
                      <w:lang w:val="en-US"/>
                    </w:rPr>
                    <w:fldChar w:fldCharType="separate"/>
                  </w:r>
                  <w:r w:rsidR="00372F12">
                    <w:rPr>
                      <w:noProof/>
                      <w:webHidden/>
                      <w:lang w:val="en-US"/>
                    </w:rPr>
                    <w:t>19</w:t>
                  </w:r>
                  <w:r w:rsidRPr="002E4D67">
                    <w:rPr>
                      <w:noProof/>
                      <w:webHidden/>
                      <w:lang w:val="en-US"/>
                    </w:rPr>
                    <w:fldChar w:fldCharType="end"/>
                  </w:r>
                </w:hyperlink>
              </w:p>
              <w:p w14:paraId="67F900B3" w14:textId="22304B73"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19" w:history="1">
                  <w:r w:rsidRPr="002E4D67">
                    <w:rPr>
                      <w:rStyle w:val="Hyperlink"/>
                      <w:noProof/>
                      <w:lang w:val="en-US"/>
                    </w:rPr>
                    <w:t>A.7 Another identifier required pursuant to applicable national law</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_Toc213179119 \h </w:instrText>
                  </w:r>
                  <w:r w:rsidRPr="002E4D67">
                    <w:rPr>
                      <w:noProof/>
                      <w:webHidden/>
                      <w:lang w:val="en-US"/>
                    </w:rPr>
                  </w:r>
                  <w:r w:rsidRPr="002E4D67">
                    <w:rPr>
                      <w:noProof/>
                      <w:webHidden/>
                      <w:lang w:val="en-US"/>
                    </w:rPr>
                    <w:fldChar w:fldCharType="separate"/>
                  </w:r>
                  <w:r w:rsidR="00372F12">
                    <w:rPr>
                      <w:noProof/>
                      <w:webHidden/>
                      <w:lang w:val="en-US"/>
                    </w:rPr>
                    <w:t>19</w:t>
                  </w:r>
                  <w:r w:rsidRPr="002E4D67">
                    <w:rPr>
                      <w:noProof/>
                      <w:webHidden/>
                      <w:lang w:val="en-US"/>
                    </w:rPr>
                    <w:fldChar w:fldCharType="end"/>
                  </w:r>
                </w:hyperlink>
              </w:p>
              <w:p w14:paraId="569CD327" w14:textId="5BC2B963"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20" w:history="1">
                  <w:r w:rsidRPr="002E4D67">
                    <w:rPr>
                      <w:rStyle w:val="Hyperlink"/>
                      <w:noProof/>
                      <w:lang w:val="en-US"/>
                    </w:rPr>
                    <w:t>A.8 Contact telephone number</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_Toc213179120 \h </w:instrText>
                  </w:r>
                  <w:r w:rsidRPr="002E4D67">
                    <w:rPr>
                      <w:noProof/>
                      <w:webHidden/>
                      <w:lang w:val="en-US"/>
                    </w:rPr>
                  </w:r>
                  <w:r w:rsidRPr="002E4D67">
                    <w:rPr>
                      <w:noProof/>
                      <w:webHidden/>
                      <w:lang w:val="en-US"/>
                    </w:rPr>
                    <w:fldChar w:fldCharType="separate"/>
                  </w:r>
                  <w:r w:rsidR="00372F12">
                    <w:rPr>
                      <w:noProof/>
                      <w:webHidden/>
                      <w:lang w:val="en-US"/>
                    </w:rPr>
                    <w:t>19</w:t>
                  </w:r>
                  <w:r w:rsidRPr="002E4D67">
                    <w:rPr>
                      <w:noProof/>
                      <w:webHidden/>
                      <w:lang w:val="en-US"/>
                    </w:rPr>
                    <w:fldChar w:fldCharType="end"/>
                  </w:r>
                </w:hyperlink>
              </w:p>
              <w:p w14:paraId="595D703C" w14:textId="6647BD86"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21" w:history="1">
                  <w:r w:rsidRPr="002E4D67">
                    <w:rPr>
                      <w:rStyle w:val="Hyperlink"/>
                      <w:noProof/>
                      <w:lang w:val="en-US"/>
                    </w:rPr>
                    <w:t>A.9 E-Mail address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_Toc213179121 \h </w:instrText>
                  </w:r>
                  <w:r w:rsidRPr="002E4D67">
                    <w:rPr>
                      <w:noProof/>
                      <w:webHidden/>
                      <w:lang w:val="en-US"/>
                    </w:rPr>
                  </w:r>
                  <w:r w:rsidRPr="002E4D67">
                    <w:rPr>
                      <w:noProof/>
                      <w:webHidden/>
                      <w:lang w:val="en-US"/>
                    </w:rPr>
                    <w:fldChar w:fldCharType="separate"/>
                  </w:r>
                  <w:r w:rsidR="00372F12">
                    <w:rPr>
                      <w:noProof/>
                      <w:webHidden/>
                      <w:lang w:val="en-US"/>
                    </w:rPr>
                    <w:t>19</w:t>
                  </w:r>
                  <w:r w:rsidRPr="002E4D67">
                    <w:rPr>
                      <w:noProof/>
                      <w:webHidden/>
                      <w:lang w:val="en-US"/>
                    </w:rPr>
                    <w:fldChar w:fldCharType="end"/>
                  </w:r>
                </w:hyperlink>
              </w:p>
              <w:p w14:paraId="70A78B4E" w14:textId="225B8E93"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22" w:history="1">
                  <w:r w:rsidRPr="002E4D67">
                    <w:rPr>
                      <w:rStyle w:val="Hyperlink"/>
                      <w:noProof/>
                      <w:lang w:val="en-US"/>
                    </w:rPr>
                    <w:t>A.10 Response time (Days)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_Toc213179122 \h </w:instrText>
                  </w:r>
                  <w:r w:rsidRPr="002E4D67">
                    <w:rPr>
                      <w:noProof/>
                      <w:webHidden/>
                      <w:lang w:val="en-US"/>
                    </w:rPr>
                  </w:r>
                  <w:r w:rsidRPr="002E4D67">
                    <w:rPr>
                      <w:noProof/>
                      <w:webHidden/>
                      <w:lang w:val="en-US"/>
                    </w:rPr>
                    <w:fldChar w:fldCharType="separate"/>
                  </w:r>
                  <w:r w:rsidR="00372F12">
                    <w:rPr>
                      <w:noProof/>
                      <w:webHidden/>
                      <w:lang w:val="en-US"/>
                    </w:rPr>
                    <w:t>19</w:t>
                  </w:r>
                  <w:r w:rsidRPr="002E4D67">
                    <w:rPr>
                      <w:noProof/>
                      <w:webHidden/>
                      <w:lang w:val="en-US"/>
                    </w:rPr>
                    <w:fldChar w:fldCharType="end"/>
                  </w:r>
                </w:hyperlink>
              </w:p>
              <w:p w14:paraId="6698238C" w14:textId="26032CAA"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23" w:history="1">
                  <w:r w:rsidRPr="002E4D67">
                    <w:rPr>
                      <w:rStyle w:val="Hyperlink"/>
                      <w:noProof/>
                      <w:lang w:val="en-US"/>
                    </w:rPr>
                    <w:t>A.11 Parent company</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_Toc213179123 \h </w:instrText>
                  </w:r>
                  <w:r w:rsidRPr="002E4D67">
                    <w:rPr>
                      <w:noProof/>
                      <w:webHidden/>
                      <w:lang w:val="en-US"/>
                    </w:rPr>
                  </w:r>
                  <w:r w:rsidRPr="002E4D67">
                    <w:rPr>
                      <w:noProof/>
                      <w:webHidden/>
                      <w:lang w:val="en-US"/>
                    </w:rPr>
                    <w:fldChar w:fldCharType="separate"/>
                  </w:r>
                  <w:r w:rsidR="00372F12">
                    <w:rPr>
                      <w:noProof/>
                      <w:webHidden/>
                      <w:lang w:val="en-US"/>
                    </w:rPr>
                    <w:t>19</w:t>
                  </w:r>
                  <w:r w:rsidRPr="002E4D67">
                    <w:rPr>
                      <w:noProof/>
                      <w:webHidden/>
                      <w:lang w:val="en-US"/>
                    </w:rPr>
                    <w:fldChar w:fldCharType="end"/>
                  </w:r>
                </w:hyperlink>
              </w:p>
              <w:p w14:paraId="7598A792" w14:textId="2B52FE27"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24" w:history="1">
                  <w:r w:rsidRPr="002E4D67">
                    <w:rPr>
                      <w:rStyle w:val="Hyperlink"/>
                      <w:noProof/>
                      <w:lang w:val="en-US"/>
                    </w:rPr>
                    <w:t>A.12 Members of the management body</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_Toc213179124 \h </w:instrText>
                  </w:r>
                  <w:r w:rsidRPr="002E4D67">
                    <w:rPr>
                      <w:noProof/>
                      <w:webHidden/>
                      <w:lang w:val="en-US"/>
                    </w:rPr>
                  </w:r>
                  <w:r w:rsidRPr="002E4D67">
                    <w:rPr>
                      <w:noProof/>
                      <w:webHidden/>
                      <w:lang w:val="en-US"/>
                    </w:rPr>
                    <w:fldChar w:fldCharType="separate"/>
                  </w:r>
                  <w:r w:rsidR="00372F12">
                    <w:rPr>
                      <w:noProof/>
                      <w:webHidden/>
                      <w:lang w:val="en-US"/>
                    </w:rPr>
                    <w:t>19</w:t>
                  </w:r>
                  <w:r w:rsidRPr="002E4D67">
                    <w:rPr>
                      <w:noProof/>
                      <w:webHidden/>
                      <w:lang w:val="en-US"/>
                    </w:rPr>
                    <w:fldChar w:fldCharType="end"/>
                  </w:r>
                </w:hyperlink>
              </w:p>
              <w:p w14:paraId="7C617396" w14:textId="02357EF0"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25" w:history="1">
                  <w:r w:rsidRPr="002E4D67">
                    <w:rPr>
                      <w:rStyle w:val="Hyperlink"/>
                      <w:noProof/>
                      <w:lang w:val="en-US"/>
                    </w:rPr>
                    <w:t>A.13 Business activity</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_Toc213179125 \h </w:instrText>
                  </w:r>
                  <w:r w:rsidRPr="002E4D67">
                    <w:rPr>
                      <w:noProof/>
                      <w:webHidden/>
                      <w:lang w:val="en-US"/>
                    </w:rPr>
                  </w:r>
                  <w:r w:rsidRPr="002E4D67">
                    <w:rPr>
                      <w:noProof/>
                      <w:webHidden/>
                      <w:lang w:val="en-US"/>
                    </w:rPr>
                    <w:fldChar w:fldCharType="separate"/>
                  </w:r>
                  <w:r w:rsidR="00372F12">
                    <w:rPr>
                      <w:noProof/>
                      <w:webHidden/>
                      <w:lang w:val="en-US"/>
                    </w:rPr>
                    <w:t>19</w:t>
                  </w:r>
                  <w:r w:rsidRPr="002E4D67">
                    <w:rPr>
                      <w:noProof/>
                      <w:webHidden/>
                      <w:lang w:val="en-US"/>
                    </w:rPr>
                    <w:fldChar w:fldCharType="end"/>
                  </w:r>
                </w:hyperlink>
              </w:p>
              <w:p w14:paraId="419C42E5" w14:textId="7188F642"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26" w:history="1">
                  <w:r w:rsidRPr="002E4D67">
                    <w:rPr>
                      <w:rStyle w:val="Hyperlink"/>
                      <w:noProof/>
                      <w:lang w:val="en-US"/>
                    </w:rPr>
                    <w:t>A. 14 Parent Company Business Activity</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_Toc213179126 \h </w:instrText>
                  </w:r>
                  <w:r w:rsidRPr="002E4D67">
                    <w:rPr>
                      <w:noProof/>
                      <w:webHidden/>
                      <w:lang w:val="en-US"/>
                    </w:rPr>
                  </w:r>
                  <w:r w:rsidRPr="002E4D67">
                    <w:rPr>
                      <w:noProof/>
                      <w:webHidden/>
                      <w:lang w:val="en-US"/>
                    </w:rPr>
                    <w:fldChar w:fldCharType="separate"/>
                  </w:r>
                  <w:r w:rsidR="00372F12">
                    <w:rPr>
                      <w:noProof/>
                      <w:webHidden/>
                      <w:lang w:val="en-US"/>
                    </w:rPr>
                    <w:t>20</w:t>
                  </w:r>
                  <w:r w:rsidRPr="002E4D67">
                    <w:rPr>
                      <w:noProof/>
                      <w:webHidden/>
                      <w:lang w:val="en-US"/>
                    </w:rPr>
                    <w:fldChar w:fldCharType="end"/>
                  </w:r>
                </w:hyperlink>
              </w:p>
              <w:p w14:paraId="22BF1958" w14:textId="20503F55"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27" w:history="1">
                  <w:r w:rsidRPr="002E4D67">
                    <w:rPr>
                      <w:rStyle w:val="Hyperlink"/>
                      <w:noProof/>
                      <w:lang w:val="en-US"/>
                    </w:rPr>
                    <w:t>A.15 Newly Established</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_Toc213179127 \h </w:instrText>
                  </w:r>
                  <w:r w:rsidRPr="002E4D67">
                    <w:rPr>
                      <w:noProof/>
                      <w:webHidden/>
                      <w:lang w:val="en-US"/>
                    </w:rPr>
                  </w:r>
                  <w:r w:rsidRPr="002E4D67">
                    <w:rPr>
                      <w:noProof/>
                      <w:webHidden/>
                      <w:lang w:val="en-US"/>
                    </w:rPr>
                    <w:fldChar w:fldCharType="separate"/>
                  </w:r>
                  <w:r w:rsidR="00372F12">
                    <w:rPr>
                      <w:noProof/>
                      <w:webHidden/>
                      <w:lang w:val="en-US"/>
                    </w:rPr>
                    <w:t>20</w:t>
                  </w:r>
                  <w:r w:rsidRPr="002E4D67">
                    <w:rPr>
                      <w:noProof/>
                      <w:webHidden/>
                      <w:lang w:val="en-US"/>
                    </w:rPr>
                    <w:fldChar w:fldCharType="end"/>
                  </w:r>
                </w:hyperlink>
              </w:p>
              <w:p w14:paraId="183C09C1" w14:textId="5862BCE5"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28" w:history="1">
                  <w:r w:rsidRPr="002E4D67">
                    <w:rPr>
                      <w:rStyle w:val="Hyperlink"/>
                      <w:noProof/>
                      <w:lang w:val="en-US"/>
                    </w:rPr>
                    <w:t>A. 16 Financial Condition for the Past Three Years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_Toc213179128 \h </w:instrText>
                  </w:r>
                  <w:r w:rsidRPr="002E4D67">
                    <w:rPr>
                      <w:noProof/>
                      <w:webHidden/>
                      <w:lang w:val="en-US"/>
                    </w:rPr>
                  </w:r>
                  <w:r w:rsidRPr="002E4D67">
                    <w:rPr>
                      <w:noProof/>
                      <w:webHidden/>
                      <w:lang w:val="en-US"/>
                    </w:rPr>
                    <w:fldChar w:fldCharType="separate"/>
                  </w:r>
                  <w:r w:rsidR="00372F12">
                    <w:rPr>
                      <w:noProof/>
                      <w:webHidden/>
                      <w:lang w:val="en-US"/>
                    </w:rPr>
                    <w:t>20</w:t>
                  </w:r>
                  <w:r w:rsidRPr="002E4D67">
                    <w:rPr>
                      <w:noProof/>
                      <w:webHidden/>
                      <w:lang w:val="en-US"/>
                    </w:rPr>
                    <w:fldChar w:fldCharType="end"/>
                  </w:r>
                </w:hyperlink>
              </w:p>
              <w:p w14:paraId="524F0136" w14:textId="09A2228E"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29" w:history="1">
                  <w:r w:rsidRPr="002E4D67">
                    <w:rPr>
                      <w:rStyle w:val="Hyperlink"/>
                      <w:noProof/>
                      <w:lang w:val="en-US"/>
                    </w:rPr>
                    <w:t>A.17 Financial Condition Since Registration</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_Toc213179129 \h </w:instrText>
                  </w:r>
                  <w:r w:rsidRPr="002E4D67">
                    <w:rPr>
                      <w:noProof/>
                      <w:webHidden/>
                      <w:lang w:val="en-US"/>
                    </w:rPr>
                  </w:r>
                  <w:r w:rsidRPr="002E4D67">
                    <w:rPr>
                      <w:noProof/>
                      <w:webHidden/>
                      <w:lang w:val="en-US"/>
                    </w:rPr>
                    <w:fldChar w:fldCharType="separate"/>
                  </w:r>
                  <w:r w:rsidR="00372F12">
                    <w:rPr>
                      <w:noProof/>
                      <w:webHidden/>
                      <w:lang w:val="en-US"/>
                    </w:rPr>
                    <w:t>20</w:t>
                  </w:r>
                  <w:r w:rsidRPr="002E4D67">
                    <w:rPr>
                      <w:noProof/>
                      <w:webHidden/>
                      <w:lang w:val="en-US"/>
                    </w:rPr>
                    <w:fldChar w:fldCharType="end"/>
                  </w:r>
                </w:hyperlink>
              </w:p>
              <w:p w14:paraId="3BEE5520" w14:textId="25B39A18"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30" w:history="1">
                  <w:r w:rsidRPr="002E4D67">
                    <w:rPr>
                      <w:rStyle w:val="Hyperlink"/>
                      <w:noProof/>
                      <w:lang w:val="en-US"/>
                    </w:rPr>
                    <w:t>Part B – Information about the issuer, if different from the offeror or person seeking admission to trading</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_Toc213179130 \h </w:instrText>
                  </w:r>
                  <w:r w:rsidRPr="002E4D67">
                    <w:rPr>
                      <w:noProof/>
                      <w:webHidden/>
                      <w:lang w:val="en-US"/>
                    </w:rPr>
                  </w:r>
                  <w:r w:rsidRPr="002E4D67">
                    <w:rPr>
                      <w:noProof/>
                      <w:webHidden/>
                      <w:lang w:val="en-US"/>
                    </w:rPr>
                    <w:fldChar w:fldCharType="separate"/>
                  </w:r>
                  <w:r w:rsidR="00372F12">
                    <w:rPr>
                      <w:noProof/>
                      <w:webHidden/>
                      <w:lang w:val="en-US"/>
                    </w:rPr>
                    <w:t>21</w:t>
                  </w:r>
                  <w:r w:rsidRPr="002E4D67">
                    <w:rPr>
                      <w:noProof/>
                      <w:webHidden/>
                      <w:lang w:val="en-US"/>
                    </w:rPr>
                    <w:fldChar w:fldCharType="end"/>
                  </w:r>
                </w:hyperlink>
              </w:p>
              <w:p w14:paraId="414484AA" w14:textId="7845048F"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31" w:history="1">
                  <w:r w:rsidRPr="002E4D67">
                    <w:rPr>
                      <w:rStyle w:val="Hyperlink"/>
                      <w:noProof/>
                      <w:lang w:val="en-US"/>
                    </w:rPr>
                    <w:t>Part C - Information about the operator of the trading platform in cases where it draws up the crypto-asset white paper and information about other persons drawing the crypto-asset white paper pursuant to Article 6(1), second subparagraph, of Regulation (EU) 2023/1114</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_Toc213179131 \h </w:instrText>
                  </w:r>
                  <w:r w:rsidRPr="002E4D67">
                    <w:rPr>
                      <w:noProof/>
                      <w:webHidden/>
                      <w:lang w:val="en-US"/>
                    </w:rPr>
                  </w:r>
                  <w:r w:rsidRPr="002E4D67">
                    <w:rPr>
                      <w:noProof/>
                      <w:webHidden/>
                      <w:lang w:val="en-US"/>
                    </w:rPr>
                    <w:fldChar w:fldCharType="separate"/>
                  </w:r>
                  <w:r w:rsidR="00372F12">
                    <w:rPr>
                      <w:noProof/>
                      <w:webHidden/>
                      <w:lang w:val="en-US"/>
                    </w:rPr>
                    <w:t>21</w:t>
                  </w:r>
                  <w:r w:rsidRPr="002E4D67">
                    <w:rPr>
                      <w:noProof/>
                      <w:webHidden/>
                      <w:lang w:val="en-US"/>
                    </w:rPr>
                    <w:fldChar w:fldCharType="end"/>
                  </w:r>
                </w:hyperlink>
              </w:p>
              <w:p w14:paraId="7CA25801" w14:textId="7168BFC6"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32" w:history="1">
                  <w:r w:rsidRPr="002E4D67">
                    <w:rPr>
                      <w:rStyle w:val="Hyperlink"/>
                      <w:noProof/>
                      <w:lang w:val="en-US"/>
                    </w:rPr>
                    <w:t>Part D – Information about the crypto-asset project</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_Toc213179132 \h </w:instrText>
                  </w:r>
                  <w:r w:rsidRPr="002E4D67">
                    <w:rPr>
                      <w:noProof/>
                      <w:webHidden/>
                      <w:lang w:val="en-US"/>
                    </w:rPr>
                  </w:r>
                  <w:r w:rsidRPr="002E4D67">
                    <w:rPr>
                      <w:noProof/>
                      <w:webHidden/>
                      <w:lang w:val="en-US"/>
                    </w:rPr>
                    <w:fldChar w:fldCharType="separate"/>
                  </w:r>
                  <w:r w:rsidR="00372F12">
                    <w:rPr>
                      <w:noProof/>
                      <w:webHidden/>
                      <w:lang w:val="en-US"/>
                    </w:rPr>
                    <w:t>21</w:t>
                  </w:r>
                  <w:r w:rsidRPr="002E4D67">
                    <w:rPr>
                      <w:noProof/>
                      <w:webHidden/>
                      <w:lang w:val="en-US"/>
                    </w:rPr>
                    <w:fldChar w:fldCharType="end"/>
                  </w:r>
                </w:hyperlink>
              </w:p>
              <w:p w14:paraId="7B170DEE" w14:textId="2ED18EBE"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33" w:history="1">
                  <w:r w:rsidRPr="002E4D67">
                    <w:rPr>
                      <w:rStyle w:val="Hyperlink"/>
                      <w:noProof/>
                      <w:lang w:val="en-US"/>
                    </w:rPr>
                    <w:t>D.1 Crypto-asset project name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_Toc213179133 \h </w:instrText>
                  </w:r>
                  <w:r w:rsidRPr="002E4D67">
                    <w:rPr>
                      <w:noProof/>
                      <w:webHidden/>
                      <w:lang w:val="en-US"/>
                    </w:rPr>
                  </w:r>
                  <w:r w:rsidRPr="002E4D67">
                    <w:rPr>
                      <w:noProof/>
                      <w:webHidden/>
                      <w:lang w:val="en-US"/>
                    </w:rPr>
                    <w:fldChar w:fldCharType="separate"/>
                  </w:r>
                  <w:r w:rsidR="00372F12">
                    <w:rPr>
                      <w:noProof/>
                      <w:webHidden/>
                      <w:lang w:val="en-US"/>
                    </w:rPr>
                    <w:t>21</w:t>
                  </w:r>
                  <w:r w:rsidRPr="002E4D67">
                    <w:rPr>
                      <w:noProof/>
                      <w:webHidden/>
                      <w:lang w:val="en-US"/>
                    </w:rPr>
                    <w:fldChar w:fldCharType="end"/>
                  </w:r>
                </w:hyperlink>
              </w:p>
              <w:p w14:paraId="3E7E4F22" w14:textId="04092B7D"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34" w:history="1">
                  <w:r w:rsidRPr="002E4D67">
                    <w:rPr>
                      <w:rStyle w:val="Hyperlink"/>
                      <w:noProof/>
                      <w:lang w:val="en-US"/>
                    </w:rPr>
                    <w:t>D.2 Crypto-assets name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_Toc213179134 \h </w:instrText>
                  </w:r>
                  <w:r w:rsidRPr="002E4D67">
                    <w:rPr>
                      <w:noProof/>
                      <w:webHidden/>
                      <w:lang w:val="en-US"/>
                    </w:rPr>
                  </w:r>
                  <w:r w:rsidRPr="002E4D67">
                    <w:rPr>
                      <w:noProof/>
                      <w:webHidden/>
                      <w:lang w:val="en-US"/>
                    </w:rPr>
                    <w:fldChar w:fldCharType="separate"/>
                  </w:r>
                  <w:r w:rsidR="00372F12">
                    <w:rPr>
                      <w:noProof/>
                      <w:webHidden/>
                      <w:lang w:val="en-US"/>
                    </w:rPr>
                    <w:t>21</w:t>
                  </w:r>
                  <w:r w:rsidRPr="002E4D67">
                    <w:rPr>
                      <w:noProof/>
                      <w:webHidden/>
                      <w:lang w:val="en-US"/>
                    </w:rPr>
                    <w:fldChar w:fldCharType="end"/>
                  </w:r>
                </w:hyperlink>
              </w:p>
              <w:p w14:paraId="0EAEA5F1" w14:textId="2613214D"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35" w:history="1">
                  <w:r w:rsidRPr="002E4D67">
                    <w:rPr>
                      <w:rStyle w:val="Hyperlink"/>
                      <w:noProof/>
                      <w:lang w:val="en-US"/>
                    </w:rPr>
                    <w:t>D.3 Abbreviation</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_Toc213179135 \h </w:instrText>
                  </w:r>
                  <w:r w:rsidRPr="002E4D67">
                    <w:rPr>
                      <w:noProof/>
                      <w:webHidden/>
                      <w:lang w:val="en-US"/>
                    </w:rPr>
                  </w:r>
                  <w:r w:rsidRPr="002E4D67">
                    <w:rPr>
                      <w:noProof/>
                      <w:webHidden/>
                      <w:lang w:val="en-US"/>
                    </w:rPr>
                    <w:fldChar w:fldCharType="separate"/>
                  </w:r>
                  <w:r w:rsidR="00372F12">
                    <w:rPr>
                      <w:noProof/>
                      <w:webHidden/>
                      <w:lang w:val="en-US"/>
                    </w:rPr>
                    <w:t>21</w:t>
                  </w:r>
                  <w:r w:rsidRPr="002E4D67">
                    <w:rPr>
                      <w:noProof/>
                      <w:webHidden/>
                      <w:lang w:val="en-US"/>
                    </w:rPr>
                    <w:fldChar w:fldCharType="end"/>
                  </w:r>
                </w:hyperlink>
              </w:p>
              <w:p w14:paraId="5D20D92E" w14:textId="32363E9A"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36" w:history="1">
                  <w:r w:rsidRPr="002E4D67">
                    <w:rPr>
                      <w:rStyle w:val="Hyperlink"/>
                      <w:noProof/>
                      <w:lang w:val="en-US"/>
                    </w:rPr>
                    <w:t>D.4 Crypto-asset project description</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_Toc213179136 \h </w:instrText>
                  </w:r>
                  <w:r w:rsidRPr="002E4D67">
                    <w:rPr>
                      <w:noProof/>
                      <w:webHidden/>
                      <w:lang w:val="en-US"/>
                    </w:rPr>
                  </w:r>
                  <w:r w:rsidRPr="002E4D67">
                    <w:rPr>
                      <w:noProof/>
                      <w:webHidden/>
                      <w:lang w:val="en-US"/>
                    </w:rPr>
                    <w:fldChar w:fldCharType="separate"/>
                  </w:r>
                  <w:r w:rsidR="00372F12">
                    <w:rPr>
                      <w:noProof/>
                      <w:webHidden/>
                      <w:lang w:val="en-US"/>
                    </w:rPr>
                    <w:t>21</w:t>
                  </w:r>
                  <w:r w:rsidRPr="002E4D67">
                    <w:rPr>
                      <w:noProof/>
                      <w:webHidden/>
                      <w:lang w:val="en-US"/>
                    </w:rPr>
                    <w:fldChar w:fldCharType="end"/>
                  </w:r>
                </w:hyperlink>
              </w:p>
              <w:p w14:paraId="50389041" w14:textId="050DCB5A"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37" w:history="1">
                  <w:r w:rsidRPr="002E4D67">
                    <w:rPr>
                      <w:rStyle w:val="Hyperlink"/>
                      <w:noProof/>
                      <w:lang w:val="en-US"/>
                    </w:rPr>
                    <w:t>D.5 Details of all natural or legal persons involved in the implementation of the crypto-asset project</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_Toc213179137 \h </w:instrText>
                  </w:r>
                  <w:r w:rsidRPr="002E4D67">
                    <w:rPr>
                      <w:noProof/>
                      <w:webHidden/>
                      <w:lang w:val="en-US"/>
                    </w:rPr>
                  </w:r>
                  <w:r w:rsidRPr="002E4D67">
                    <w:rPr>
                      <w:noProof/>
                      <w:webHidden/>
                      <w:lang w:val="en-US"/>
                    </w:rPr>
                    <w:fldChar w:fldCharType="separate"/>
                  </w:r>
                  <w:r w:rsidR="00372F12">
                    <w:rPr>
                      <w:noProof/>
                      <w:webHidden/>
                      <w:lang w:val="en-US"/>
                    </w:rPr>
                    <w:t>22</w:t>
                  </w:r>
                  <w:r w:rsidRPr="002E4D67">
                    <w:rPr>
                      <w:noProof/>
                      <w:webHidden/>
                      <w:lang w:val="en-US"/>
                    </w:rPr>
                    <w:fldChar w:fldCharType="end"/>
                  </w:r>
                </w:hyperlink>
              </w:p>
              <w:p w14:paraId="2502DF96" w14:textId="743BE7B4"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38" w:history="1">
                  <w:r w:rsidRPr="002E4D67">
                    <w:rPr>
                      <w:rStyle w:val="Hyperlink"/>
                      <w:noProof/>
                      <w:lang w:val="en-US"/>
                    </w:rPr>
                    <w:t>D.6 Utility Token Classification</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_Toc213179138 \h </w:instrText>
                  </w:r>
                  <w:r w:rsidRPr="002E4D67">
                    <w:rPr>
                      <w:noProof/>
                      <w:webHidden/>
                      <w:lang w:val="en-US"/>
                    </w:rPr>
                  </w:r>
                  <w:r w:rsidRPr="002E4D67">
                    <w:rPr>
                      <w:noProof/>
                      <w:webHidden/>
                      <w:lang w:val="en-US"/>
                    </w:rPr>
                    <w:fldChar w:fldCharType="separate"/>
                  </w:r>
                  <w:r w:rsidR="00372F12">
                    <w:rPr>
                      <w:noProof/>
                      <w:webHidden/>
                      <w:lang w:val="en-US"/>
                    </w:rPr>
                    <w:t>24</w:t>
                  </w:r>
                  <w:r w:rsidRPr="002E4D67">
                    <w:rPr>
                      <w:noProof/>
                      <w:webHidden/>
                      <w:lang w:val="en-US"/>
                    </w:rPr>
                    <w:fldChar w:fldCharType="end"/>
                  </w:r>
                </w:hyperlink>
              </w:p>
              <w:p w14:paraId="7A484C63" w14:textId="3AD10862"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39" w:history="1">
                  <w:r w:rsidRPr="002E4D67">
                    <w:rPr>
                      <w:rStyle w:val="Hyperlink"/>
                      <w:noProof/>
                      <w:lang w:val="en-US"/>
                    </w:rPr>
                    <w:t>D.7 Key Features of Goods/Services for Utility Token Projects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_Toc213179139 \h </w:instrText>
                  </w:r>
                  <w:r w:rsidRPr="002E4D67">
                    <w:rPr>
                      <w:noProof/>
                      <w:webHidden/>
                      <w:lang w:val="en-US"/>
                    </w:rPr>
                  </w:r>
                  <w:r w:rsidRPr="002E4D67">
                    <w:rPr>
                      <w:noProof/>
                      <w:webHidden/>
                      <w:lang w:val="en-US"/>
                    </w:rPr>
                    <w:fldChar w:fldCharType="separate"/>
                  </w:r>
                  <w:r w:rsidR="00372F12">
                    <w:rPr>
                      <w:noProof/>
                      <w:webHidden/>
                      <w:lang w:val="en-US"/>
                    </w:rPr>
                    <w:t>24</w:t>
                  </w:r>
                  <w:r w:rsidRPr="002E4D67">
                    <w:rPr>
                      <w:noProof/>
                      <w:webHidden/>
                      <w:lang w:val="en-US"/>
                    </w:rPr>
                    <w:fldChar w:fldCharType="end"/>
                  </w:r>
                </w:hyperlink>
              </w:p>
              <w:p w14:paraId="42A77C6F" w14:textId="0328717A"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40" w:history="1">
                  <w:r w:rsidRPr="002E4D67">
                    <w:rPr>
                      <w:rStyle w:val="Hyperlink"/>
                      <w:noProof/>
                      <w:lang w:val="en-US"/>
                    </w:rPr>
                    <w:t>D.8 Plans for the token</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_Toc213179140 \h </w:instrText>
                  </w:r>
                  <w:r w:rsidRPr="002E4D67">
                    <w:rPr>
                      <w:noProof/>
                      <w:webHidden/>
                      <w:lang w:val="en-US"/>
                    </w:rPr>
                  </w:r>
                  <w:r w:rsidRPr="002E4D67">
                    <w:rPr>
                      <w:noProof/>
                      <w:webHidden/>
                      <w:lang w:val="en-US"/>
                    </w:rPr>
                    <w:fldChar w:fldCharType="separate"/>
                  </w:r>
                  <w:r w:rsidR="00372F12">
                    <w:rPr>
                      <w:noProof/>
                      <w:webHidden/>
                      <w:lang w:val="en-US"/>
                    </w:rPr>
                    <w:t>25</w:t>
                  </w:r>
                  <w:r w:rsidRPr="002E4D67">
                    <w:rPr>
                      <w:noProof/>
                      <w:webHidden/>
                      <w:lang w:val="en-US"/>
                    </w:rPr>
                    <w:fldChar w:fldCharType="end"/>
                  </w:r>
                </w:hyperlink>
              </w:p>
              <w:p w14:paraId="2E5D7B94" w14:textId="3474B34D"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41" w:history="1">
                  <w:r w:rsidRPr="002E4D67">
                    <w:rPr>
                      <w:rStyle w:val="Hyperlink"/>
                      <w:noProof/>
                      <w:lang w:val="en-US"/>
                    </w:rPr>
                    <w:t>D.9 Resource allocation</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_Toc213179141 \h </w:instrText>
                  </w:r>
                  <w:r w:rsidRPr="002E4D67">
                    <w:rPr>
                      <w:noProof/>
                      <w:webHidden/>
                      <w:lang w:val="en-US"/>
                    </w:rPr>
                  </w:r>
                  <w:r w:rsidRPr="002E4D67">
                    <w:rPr>
                      <w:noProof/>
                      <w:webHidden/>
                      <w:lang w:val="en-US"/>
                    </w:rPr>
                    <w:fldChar w:fldCharType="separate"/>
                  </w:r>
                  <w:r w:rsidR="00372F12">
                    <w:rPr>
                      <w:noProof/>
                      <w:webHidden/>
                      <w:lang w:val="en-US"/>
                    </w:rPr>
                    <w:t>26</w:t>
                  </w:r>
                  <w:r w:rsidRPr="002E4D67">
                    <w:rPr>
                      <w:noProof/>
                      <w:webHidden/>
                      <w:lang w:val="en-US"/>
                    </w:rPr>
                    <w:fldChar w:fldCharType="end"/>
                  </w:r>
                </w:hyperlink>
              </w:p>
              <w:p w14:paraId="535A9AA8" w14:textId="777E73DA"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42" w:history="1">
                  <w:r w:rsidRPr="002E4D67">
                    <w:rPr>
                      <w:rStyle w:val="Hyperlink"/>
                      <w:noProof/>
                      <w:lang w:val="en-US"/>
                    </w:rPr>
                    <w:t>D.10 Planned use of Collected funds or crypto-Assets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_Toc213179142 \h </w:instrText>
                  </w:r>
                  <w:r w:rsidRPr="002E4D67">
                    <w:rPr>
                      <w:noProof/>
                      <w:webHidden/>
                      <w:lang w:val="en-US"/>
                    </w:rPr>
                  </w:r>
                  <w:r w:rsidRPr="002E4D67">
                    <w:rPr>
                      <w:noProof/>
                      <w:webHidden/>
                      <w:lang w:val="en-US"/>
                    </w:rPr>
                    <w:fldChar w:fldCharType="separate"/>
                  </w:r>
                  <w:r w:rsidR="00372F12">
                    <w:rPr>
                      <w:noProof/>
                      <w:webHidden/>
                      <w:lang w:val="en-US"/>
                    </w:rPr>
                    <w:t>28</w:t>
                  </w:r>
                  <w:r w:rsidRPr="002E4D67">
                    <w:rPr>
                      <w:noProof/>
                      <w:webHidden/>
                      <w:lang w:val="en-US"/>
                    </w:rPr>
                    <w:fldChar w:fldCharType="end"/>
                  </w:r>
                </w:hyperlink>
              </w:p>
              <w:p w14:paraId="55EBFA38" w14:textId="39986395"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43" w:history="1">
                  <w:r w:rsidRPr="002E4D67">
                    <w:rPr>
                      <w:rStyle w:val="Hyperlink"/>
                      <w:noProof/>
                      <w:lang w:val="en-US"/>
                    </w:rPr>
                    <w:t>Part E – Information about the offer of crypto-assets to the public of crypto-assets or their admission to trading</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_Toc213179143 \h </w:instrText>
                  </w:r>
                  <w:r w:rsidRPr="002E4D67">
                    <w:rPr>
                      <w:noProof/>
                      <w:webHidden/>
                      <w:lang w:val="en-US"/>
                    </w:rPr>
                  </w:r>
                  <w:r w:rsidRPr="002E4D67">
                    <w:rPr>
                      <w:noProof/>
                      <w:webHidden/>
                      <w:lang w:val="en-US"/>
                    </w:rPr>
                    <w:fldChar w:fldCharType="separate"/>
                  </w:r>
                  <w:r w:rsidR="00372F12">
                    <w:rPr>
                      <w:noProof/>
                      <w:webHidden/>
                      <w:lang w:val="en-US"/>
                    </w:rPr>
                    <w:t>30</w:t>
                  </w:r>
                  <w:r w:rsidRPr="002E4D67">
                    <w:rPr>
                      <w:noProof/>
                      <w:webHidden/>
                      <w:lang w:val="en-US"/>
                    </w:rPr>
                    <w:fldChar w:fldCharType="end"/>
                  </w:r>
                </w:hyperlink>
              </w:p>
              <w:p w14:paraId="58EB125B" w14:textId="44E00139"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44" w:history="1">
                  <w:r w:rsidRPr="002E4D67">
                    <w:rPr>
                      <w:rStyle w:val="Hyperlink"/>
                      <w:noProof/>
                      <w:lang w:val="en-US"/>
                    </w:rPr>
                    <w:t>E.1 Public offering or admission to trading</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_Toc213179144 \h </w:instrText>
                  </w:r>
                  <w:r w:rsidRPr="002E4D67">
                    <w:rPr>
                      <w:noProof/>
                      <w:webHidden/>
                      <w:lang w:val="en-US"/>
                    </w:rPr>
                  </w:r>
                  <w:r w:rsidRPr="002E4D67">
                    <w:rPr>
                      <w:noProof/>
                      <w:webHidden/>
                      <w:lang w:val="en-US"/>
                    </w:rPr>
                    <w:fldChar w:fldCharType="separate"/>
                  </w:r>
                  <w:r w:rsidR="00372F12">
                    <w:rPr>
                      <w:noProof/>
                      <w:webHidden/>
                      <w:lang w:val="en-US"/>
                    </w:rPr>
                    <w:t>30</w:t>
                  </w:r>
                  <w:r w:rsidRPr="002E4D67">
                    <w:rPr>
                      <w:noProof/>
                      <w:webHidden/>
                      <w:lang w:val="en-US"/>
                    </w:rPr>
                    <w:fldChar w:fldCharType="end"/>
                  </w:r>
                </w:hyperlink>
              </w:p>
              <w:p w14:paraId="4D2C08FF" w14:textId="552E6912"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45" w:history="1">
                  <w:r w:rsidRPr="002E4D67">
                    <w:rPr>
                      <w:rStyle w:val="Hyperlink"/>
                      <w:noProof/>
                      <w:lang w:val="en-US"/>
                    </w:rPr>
                    <w:t>E.2 Reasons for public offer or admission to trading</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_Toc213179145 \h </w:instrText>
                  </w:r>
                  <w:r w:rsidRPr="002E4D67">
                    <w:rPr>
                      <w:noProof/>
                      <w:webHidden/>
                      <w:lang w:val="en-US"/>
                    </w:rPr>
                  </w:r>
                  <w:r w:rsidRPr="002E4D67">
                    <w:rPr>
                      <w:noProof/>
                      <w:webHidden/>
                      <w:lang w:val="en-US"/>
                    </w:rPr>
                    <w:fldChar w:fldCharType="separate"/>
                  </w:r>
                  <w:r w:rsidR="00372F12">
                    <w:rPr>
                      <w:noProof/>
                      <w:webHidden/>
                      <w:lang w:val="en-US"/>
                    </w:rPr>
                    <w:t>30</w:t>
                  </w:r>
                  <w:r w:rsidRPr="002E4D67">
                    <w:rPr>
                      <w:noProof/>
                      <w:webHidden/>
                      <w:lang w:val="en-US"/>
                    </w:rPr>
                    <w:fldChar w:fldCharType="end"/>
                  </w:r>
                </w:hyperlink>
              </w:p>
              <w:p w14:paraId="2D61F39B" w14:textId="3AA4063B"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46" w:history="1">
                  <w:r w:rsidRPr="002E4D67">
                    <w:rPr>
                      <w:rStyle w:val="Hyperlink"/>
                      <w:noProof/>
                      <w:lang w:val="en-US"/>
                    </w:rPr>
                    <w:t>E.3 Fundraising target</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_Toc213179146 \h </w:instrText>
                  </w:r>
                  <w:r w:rsidRPr="002E4D67">
                    <w:rPr>
                      <w:noProof/>
                      <w:webHidden/>
                      <w:lang w:val="en-US"/>
                    </w:rPr>
                  </w:r>
                  <w:r w:rsidRPr="002E4D67">
                    <w:rPr>
                      <w:noProof/>
                      <w:webHidden/>
                      <w:lang w:val="en-US"/>
                    </w:rPr>
                    <w:fldChar w:fldCharType="separate"/>
                  </w:r>
                  <w:r w:rsidR="00372F12">
                    <w:rPr>
                      <w:noProof/>
                      <w:webHidden/>
                      <w:lang w:val="en-US"/>
                    </w:rPr>
                    <w:t>30</w:t>
                  </w:r>
                  <w:r w:rsidRPr="002E4D67">
                    <w:rPr>
                      <w:noProof/>
                      <w:webHidden/>
                      <w:lang w:val="en-US"/>
                    </w:rPr>
                    <w:fldChar w:fldCharType="end"/>
                  </w:r>
                </w:hyperlink>
              </w:p>
              <w:p w14:paraId="21CB5A67" w14:textId="451F6D00"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47" w:history="1">
                  <w:r w:rsidRPr="002E4D67">
                    <w:rPr>
                      <w:rStyle w:val="Hyperlink"/>
                      <w:noProof/>
                      <w:lang w:val="en-US"/>
                    </w:rPr>
                    <w:t>E.4 Minimum subscription goals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_Toc213179147 \h </w:instrText>
                  </w:r>
                  <w:r w:rsidRPr="002E4D67">
                    <w:rPr>
                      <w:noProof/>
                      <w:webHidden/>
                      <w:lang w:val="en-US"/>
                    </w:rPr>
                  </w:r>
                  <w:r w:rsidRPr="002E4D67">
                    <w:rPr>
                      <w:noProof/>
                      <w:webHidden/>
                      <w:lang w:val="en-US"/>
                    </w:rPr>
                    <w:fldChar w:fldCharType="separate"/>
                  </w:r>
                  <w:r w:rsidR="00372F12">
                    <w:rPr>
                      <w:noProof/>
                      <w:webHidden/>
                      <w:lang w:val="en-US"/>
                    </w:rPr>
                    <w:t>30</w:t>
                  </w:r>
                  <w:r w:rsidRPr="002E4D67">
                    <w:rPr>
                      <w:noProof/>
                      <w:webHidden/>
                      <w:lang w:val="en-US"/>
                    </w:rPr>
                    <w:fldChar w:fldCharType="end"/>
                  </w:r>
                </w:hyperlink>
              </w:p>
              <w:p w14:paraId="1157D3C6" w14:textId="251C1DCB"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48" w:history="1">
                  <w:r w:rsidRPr="002E4D67">
                    <w:rPr>
                      <w:rStyle w:val="Hyperlink"/>
                      <w:noProof/>
                      <w:lang w:val="en-US"/>
                    </w:rPr>
                    <w:t>E.5 Maximum subscription goal</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_Toc213179148 \h </w:instrText>
                  </w:r>
                  <w:r w:rsidRPr="002E4D67">
                    <w:rPr>
                      <w:noProof/>
                      <w:webHidden/>
                      <w:lang w:val="en-US"/>
                    </w:rPr>
                  </w:r>
                  <w:r w:rsidRPr="002E4D67">
                    <w:rPr>
                      <w:noProof/>
                      <w:webHidden/>
                      <w:lang w:val="en-US"/>
                    </w:rPr>
                    <w:fldChar w:fldCharType="separate"/>
                  </w:r>
                  <w:r w:rsidR="00372F12">
                    <w:rPr>
                      <w:noProof/>
                      <w:webHidden/>
                      <w:lang w:val="en-US"/>
                    </w:rPr>
                    <w:t>30</w:t>
                  </w:r>
                  <w:r w:rsidRPr="002E4D67">
                    <w:rPr>
                      <w:noProof/>
                      <w:webHidden/>
                      <w:lang w:val="en-US"/>
                    </w:rPr>
                    <w:fldChar w:fldCharType="end"/>
                  </w:r>
                </w:hyperlink>
              </w:p>
              <w:p w14:paraId="716408CD" w14:textId="6C02B444"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49" w:history="1">
                  <w:r w:rsidRPr="002E4D67">
                    <w:rPr>
                      <w:rStyle w:val="Hyperlink"/>
                      <w:noProof/>
                      <w:lang w:val="en-US"/>
                    </w:rPr>
                    <w:t>E.6 Oversubscription acceptance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_Toc213179149 \h </w:instrText>
                  </w:r>
                  <w:r w:rsidRPr="002E4D67">
                    <w:rPr>
                      <w:noProof/>
                      <w:webHidden/>
                      <w:lang w:val="en-US"/>
                    </w:rPr>
                  </w:r>
                  <w:r w:rsidRPr="002E4D67">
                    <w:rPr>
                      <w:noProof/>
                      <w:webHidden/>
                      <w:lang w:val="en-US"/>
                    </w:rPr>
                    <w:fldChar w:fldCharType="separate"/>
                  </w:r>
                  <w:r w:rsidR="00372F12">
                    <w:rPr>
                      <w:noProof/>
                      <w:webHidden/>
                      <w:lang w:val="en-US"/>
                    </w:rPr>
                    <w:t>31</w:t>
                  </w:r>
                  <w:r w:rsidRPr="002E4D67">
                    <w:rPr>
                      <w:noProof/>
                      <w:webHidden/>
                      <w:lang w:val="en-US"/>
                    </w:rPr>
                    <w:fldChar w:fldCharType="end"/>
                  </w:r>
                </w:hyperlink>
              </w:p>
              <w:p w14:paraId="25B29151" w14:textId="7CE79837"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50" w:history="1">
                  <w:r w:rsidRPr="002E4D67">
                    <w:rPr>
                      <w:rStyle w:val="Hyperlink"/>
                      <w:noProof/>
                      <w:lang w:val="en-US"/>
                    </w:rPr>
                    <w:t>E.7 Oversubscription allocation</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_Toc213179150 \h </w:instrText>
                  </w:r>
                  <w:r w:rsidRPr="002E4D67">
                    <w:rPr>
                      <w:noProof/>
                      <w:webHidden/>
                      <w:lang w:val="en-US"/>
                    </w:rPr>
                  </w:r>
                  <w:r w:rsidRPr="002E4D67">
                    <w:rPr>
                      <w:noProof/>
                      <w:webHidden/>
                      <w:lang w:val="en-US"/>
                    </w:rPr>
                    <w:fldChar w:fldCharType="separate"/>
                  </w:r>
                  <w:r w:rsidR="00372F12">
                    <w:rPr>
                      <w:noProof/>
                      <w:webHidden/>
                      <w:lang w:val="en-US"/>
                    </w:rPr>
                    <w:t>31</w:t>
                  </w:r>
                  <w:r w:rsidRPr="002E4D67">
                    <w:rPr>
                      <w:noProof/>
                      <w:webHidden/>
                      <w:lang w:val="en-US"/>
                    </w:rPr>
                    <w:fldChar w:fldCharType="end"/>
                  </w:r>
                </w:hyperlink>
              </w:p>
              <w:p w14:paraId="4E7D992E" w14:textId="0C2230DD"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51" w:history="1">
                  <w:r w:rsidRPr="002E4D67">
                    <w:rPr>
                      <w:rStyle w:val="Hyperlink"/>
                      <w:noProof/>
                      <w:lang w:val="en-US"/>
                    </w:rPr>
                    <w:t>E.8 Issue price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_Toc213179151 \h </w:instrText>
                  </w:r>
                  <w:r w:rsidRPr="002E4D67">
                    <w:rPr>
                      <w:noProof/>
                      <w:webHidden/>
                      <w:lang w:val="en-US"/>
                    </w:rPr>
                  </w:r>
                  <w:r w:rsidRPr="002E4D67">
                    <w:rPr>
                      <w:noProof/>
                      <w:webHidden/>
                      <w:lang w:val="en-US"/>
                    </w:rPr>
                    <w:fldChar w:fldCharType="separate"/>
                  </w:r>
                  <w:r w:rsidR="00372F12">
                    <w:rPr>
                      <w:noProof/>
                      <w:webHidden/>
                      <w:lang w:val="en-US"/>
                    </w:rPr>
                    <w:t>31</w:t>
                  </w:r>
                  <w:r w:rsidRPr="002E4D67">
                    <w:rPr>
                      <w:noProof/>
                      <w:webHidden/>
                      <w:lang w:val="en-US"/>
                    </w:rPr>
                    <w:fldChar w:fldCharType="end"/>
                  </w:r>
                </w:hyperlink>
              </w:p>
              <w:p w14:paraId="436A61DD" w14:textId="5E2AAFD8"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52" w:history="1">
                  <w:r w:rsidRPr="002E4D67">
                    <w:rPr>
                      <w:rStyle w:val="Hyperlink"/>
                      <w:noProof/>
                      <w:lang w:val="en-US"/>
                    </w:rPr>
                    <w:t>E.9 Official currency or any other crypto-assets determining the issue price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_Toc213179152 \h </w:instrText>
                  </w:r>
                  <w:r w:rsidRPr="002E4D67">
                    <w:rPr>
                      <w:noProof/>
                      <w:webHidden/>
                      <w:lang w:val="en-US"/>
                    </w:rPr>
                  </w:r>
                  <w:r w:rsidRPr="002E4D67">
                    <w:rPr>
                      <w:noProof/>
                      <w:webHidden/>
                      <w:lang w:val="en-US"/>
                    </w:rPr>
                    <w:fldChar w:fldCharType="separate"/>
                  </w:r>
                  <w:r w:rsidR="00372F12">
                    <w:rPr>
                      <w:noProof/>
                      <w:webHidden/>
                      <w:lang w:val="en-US"/>
                    </w:rPr>
                    <w:t>33</w:t>
                  </w:r>
                  <w:r w:rsidRPr="002E4D67">
                    <w:rPr>
                      <w:noProof/>
                      <w:webHidden/>
                      <w:lang w:val="en-US"/>
                    </w:rPr>
                    <w:fldChar w:fldCharType="end"/>
                  </w:r>
                </w:hyperlink>
              </w:p>
              <w:p w14:paraId="63392131" w14:textId="36723184"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53" w:history="1">
                  <w:r w:rsidRPr="002E4D67">
                    <w:rPr>
                      <w:rStyle w:val="Hyperlink"/>
                      <w:noProof/>
                      <w:lang w:val="en-US"/>
                    </w:rPr>
                    <w:t>E.10 Subscription fee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_Toc213179153 \h </w:instrText>
                  </w:r>
                  <w:r w:rsidRPr="002E4D67">
                    <w:rPr>
                      <w:noProof/>
                      <w:webHidden/>
                      <w:lang w:val="en-US"/>
                    </w:rPr>
                  </w:r>
                  <w:r w:rsidRPr="002E4D67">
                    <w:rPr>
                      <w:noProof/>
                      <w:webHidden/>
                      <w:lang w:val="en-US"/>
                    </w:rPr>
                    <w:fldChar w:fldCharType="separate"/>
                  </w:r>
                  <w:r w:rsidR="00372F12">
                    <w:rPr>
                      <w:noProof/>
                      <w:webHidden/>
                      <w:lang w:val="en-US"/>
                    </w:rPr>
                    <w:t>33</w:t>
                  </w:r>
                  <w:r w:rsidRPr="002E4D67">
                    <w:rPr>
                      <w:noProof/>
                      <w:webHidden/>
                      <w:lang w:val="en-US"/>
                    </w:rPr>
                    <w:fldChar w:fldCharType="end"/>
                  </w:r>
                </w:hyperlink>
              </w:p>
              <w:p w14:paraId="21BB40B3" w14:textId="69CCDE69"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54" w:history="1">
                  <w:r w:rsidRPr="002E4D67">
                    <w:rPr>
                      <w:rStyle w:val="Hyperlink"/>
                      <w:noProof/>
                      <w:lang w:val="en-US"/>
                    </w:rPr>
                    <w:t>E.11 Offer price determination method</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_Toc213179154 \h </w:instrText>
                  </w:r>
                  <w:r w:rsidRPr="002E4D67">
                    <w:rPr>
                      <w:noProof/>
                      <w:webHidden/>
                      <w:lang w:val="en-US"/>
                    </w:rPr>
                  </w:r>
                  <w:r w:rsidRPr="002E4D67">
                    <w:rPr>
                      <w:noProof/>
                      <w:webHidden/>
                      <w:lang w:val="en-US"/>
                    </w:rPr>
                    <w:fldChar w:fldCharType="separate"/>
                  </w:r>
                  <w:r w:rsidR="00372F12">
                    <w:rPr>
                      <w:noProof/>
                      <w:webHidden/>
                      <w:lang w:val="en-US"/>
                    </w:rPr>
                    <w:t>33</w:t>
                  </w:r>
                  <w:r w:rsidRPr="002E4D67">
                    <w:rPr>
                      <w:noProof/>
                      <w:webHidden/>
                      <w:lang w:val="en-US"/>
                    </w:rPr>
                    <w:fldChar w:fldCharType="end"/>
                  </w:r>
                </w:hyperlink>
              </w:p>
              <w:p w14:paraId="27ADDC16" w14:textId="27225C55"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55" w:history="1">
                  <w:r w:rsidRPr="002E4D67">
                    <w:rPr>
                      <w:rStyle w:val="Hyperlink"/>
                      <w:noProof/>
                      <w:lang w:val="en-US"/>
                    </w:rPr>
                    <w:t>E.12 Total number of offered/traded crypto-assets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_Toc213179155 \h </w:instrText>
                  </w:r>
                  <w:r w:rsidRPr="002E4D67">
                    <w:rPr>
                      <w:noProof/>
                      <w:webHidden/>
                      <w:lang w:val="en-US"/>
                    </w:rPr>
                  </w:r>
                  <w:r w:rsidRPr="002E4D67">
                    <w:rPr>
                      <w:noProof/>
                      <w:webHidden/>
                      <w:lang w:val="en-US"/>
                    </w:rPr>
                    <w:fldChar w:fldCharType="separate"/>
                  </w:r>
                  <w:r w:rsidR="00372F12">
                    <w:rPr>
                      <w:noProof/>
                      <w:webHidden/>
                      <w:lang w:val="en-US"/>
                    </w:rPr>
                    <w:t>35</w:t>
                  </w:r>
                  <w:r w:rsidRPr="002E4D67">
                    <w:rPr>
                      <w:noProof/>
                      <w:webHidden/>
                      <w:lang w:val="en-US"/>
                    </w:rPr>
                    <w:fldChar w:fldCharType="end"/>
                  </w:r>
                </w:hyperlink>
              </w:p>
              <w:p w14:paraId="53E0EF4A" w14:textId="786243C2"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56" w:history="1">
                  <w:r w:rsidRPr="002E4D67">
                    <w:rPr>
                      <w:rStyle w:val="Hyperlink"/>
                      <w:noProof/>
                      <w:lang w:val="en-US"/>
                    </w:rPr>
                    <w:t>E.13 Targeted holders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_Toc213179156 \h </w:instrText>
                  </w:r>
                  <w:r w:rsidRPr="002E4D67">
                    <w:rPr>
                      <w:noProof/>
                      <w:webHidden/>
                      <w:lang w:val="en-US"/>
                    </w:rPr>
                  </w:r>
                  <w:r w:rsidRPr="002E4D67">
                    <w:rPr>
                      <w:noProof/>
                      <w:webHidden/>
                      <w:lang w:val="en-US"/>
                    </w:rPr>
                    <w:fldChar w:fldCharType="separate"/>
                  </w:r>
                  <w:r w:rsidR="00372F12">
                    <w:rPr>
                      <w:noProof/>
                      <w:webHidden/>
                      <w:lang w:val="en-US"/>
                    </w:rPr>
                    <w:t>36</w:t>
                  </w:r>
                  <w:r w:rsidRPr="002E4D67">
                    <w:rPr>
                      <w:noProof/>
                      <w:webHidden/>
                      <w:lang w:val="en-US"/>
                    </w:rPr>
                    <w:fldChar w:fldCharType="end"/>
                  </w:r>
                </w:hyperlink>
              </w:p>
              <w:p w14:paraId="7748C5AB" w14:textId="454BCEDF"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57" w:history="1">
                  <w:r w:rsidRPr="002E4D67">
                    <w:rPr>
                      <w:rStyle w:val="Hyperlink"/>
                      <w:noProof/>
                      <w:lang w:val="en-US"/>
                    </w:rPr>
                    <w:t>E.14 Holder restrictions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_Toc213179157 \h </w:instrText>
                  </w:r>
                  <w:r w:rsidRPr="002E4D67">
                    <w:rPr>
                      <w:noProof/>
                      <w:webHidden/>
                      <w:lang w:val="en-US"/>
                    </w:rPr>
                  </w:r>
                  <w:r w:rsidRPr="002E4D67">
                    <w:rPr>
                      <w:noProof/>
                      <w:webHidden/>
                      <w:lang w:val="en-US"/>
                    </w:rPr>
                    <w:fldChar w:fldCharType="separate"/>
                  </w:r>
                  <w:r w:rsidR="00372F12">
                    <w:rPr>
                      <w:noProof/>
                      <w:webHidden/>
                      <w:lang w:val="en-US"/>
                    </w:rPr>
                    <w:t>36</w:t>
                  </w:r>
                  <w:r w:rsidRPr="002E4D67">
                    <w:rPr>
                      <w:noProof/>
                      <w:webHidden/>
                      <w:lang w:val="en-US"/>
                    </w:rPr>
                    <w:fldChar w:fldCharType="end"/>
                  </w:r>
                </w:hyperlink>
              </w:p>
              <w:p w14:paraId="3DD41E84" w14:textId="6C249E0D"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58" w:history="1">
                  <w:r w:rsidRPr="002E4D67">
                    <w:rPr>
                      <w:rStyle w:val="Hyperlink"/>
                      <w:noProof/>
                      <w:lang w:val="en-US"/>
                    </w:rPr>
                    <w:t>E.15 Reimbursement notice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_Toc213179158 \h </w:instrText>
                  </w:r>
                  <w:r w:rsidRPr="002E4D67">
                    <w:rPr>
                      <w:noProof/>
                      <w:webHidden/>
                      <w:lang w:val="en-US"/>
                    </w:rPr>
                  </w:r>
                  <w:r w:rsidRPr="002E4D67">
                    <w:rPr>
                      <w:noProof/>
                      <w:webHidden/>
                      <w:lang w:val="en-US"/>
                    </w:rPr>
                    <w:fldChar w:fldCharType="separate"/>
                  </w:r>
                  <w:r w:rsidR="00372F12">
                    <w:rPr>
                      <w:noProof/>
                      <w:webHidden/>
                      <w:lang w:val="en-US"/>
                    </w:rPr>
                    <w:t>36</w:t>
                  </w:r>
                  <w:r w:rsidRPr="002E4D67">
                    <w:rPr>
                      <w:noProof/>
                      <w:webHidden/>
                      <w:lang w:val="en-US"/>
                    </w:rPr>
                    <w:fldChar w:fldCharType="end"/>
                  </w:r>
                </w:hyperlink>
              </w:p>
              <w:p w14:paraId="0DA38F4A" w14:textId="7B12CC4A"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59" w:history="1">
                  <w:r w:rsidRPr="002E4D67">
                    <w:rPr>
                      <w:rStyle w:val="Hyperlink"/>
                      <w:noProof/>
                      <w:lang w:val="en-US"/>
                    </w:rPr>
                    <w:t>E.16 Refund mechanism</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_Toc213179159 \h </w:instrText>
                  </w:r>
                  <w:r w:rsidRPr="002E4D67">
                    <w:rPr>
                      <w:noProof/>
                      <w:webHidden/>
                      <w:lang w:val="en-US"/>
                    </w:rPr>
                  </w:r>
                  <w:r w:rsidRPr="002E4D67">
                    <w:rPr>
                      <w:noProof/>
                      <w:webHidden/>
                      <w:lang w:val="en-US"/>
                    </w:rPr>
                    <w:fldChar w:fldCharType="separate"/>
                  </w:r>
                  <w:r w:rsidR="00372F12">
                    <w:rPr>
                      <w:noProof/>
                      <w:webHidden/>
                      <w:lang w:val="en-US"/>
                    </w:rPr>
                    <w:t>36</w:t>
                  </w:r>
                  <w:r w:rsidRPr="002E4D67">
                    <w:rPr>
                      <w:noProof/>
                      <w:webHidden/>
                      <w:lang w:val="en-US"/>
                    </w:rPr>
                    <w:fldChar w:fldCharType="end"/>
                  </w:r>
                </w:hyperlink>
              </w:p>
              <w:p w14:paraId="56BCBB7C" w14:textId="3BE94C8E"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60" w:history="1">
                  <w:r w:rsidRPr="002E4D67">
                    <w:rPr>
                      <w:rStyle w:val="Hyperlink"/>
                      <w:noProof/>
                      <w:lang w:val="en-US"/>
                    </w:rPr>
                    <w:t>E.17 Refund timeline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_Toc213179160 \h </w:instrText>
                  </w:r>
                  <w:r w:rsidRPr="002E4D67">
                    <w:rPr>
                      <w:noProof/>
                      <w:webHidden/>
                      <w:lang w:val="en-US"/>
                    </w:rPr>
                  </w:r>
                  <w:r w:rsidRPr="002E4D67">
                    <w:rPr>
                      <w:noProof/>
                      <w:webHidden/>
                      <w:lang w:val="en-US"/>
                    </w:rPr>
                    <w:fldChar w:fldCharType="separate"/>
                  </w:r>
                  <w:r w:rsidR="00372F12">
                    <w:rPr>
                      <w:noProof/>
                      <w:webHidden/>
                      <w:lang w:val="en-US"/>
                    </w:rPr>
                    <w:t>37</w:t>
                  </w:r>
                  <w:r w:rsidRPr="002E4D67">
                    <w:rPr>
                      <w:noProof/>
                      <w:webHidden/>
                      <w:lang w:val="en-US"/>
                    </w:rPr>
                    <w:fldChar w:fldCharType="end"/>
                  </w:r>
                </w:hyperlink>
              </w:p>
              <w:p w14:paraId="21716754" w14:textId="000E4EAA"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61" w:history="1">
                  <w:r w:rsidRPr="002E4D67">
                    <w:rPr>
                      <w:rStyle w:val="Hyperlink"/>
                      <w:noProof/>
                      <w:lang w:val="en-US"/>
                    </w:rPr>
                    <w:t>E.18 Offer phases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_Toc213179161 \h </w:instrText>
                  </w:r>
                  <w:r w:rsidRPr="002E4D67">
                    <w:rPr>
                      <w:noProof/>
                      <w:webHidden/>
                      <w:lang w:val="en-US"/>
                    </w:rPr>
                  </w:r>
                  <w:r w:rsidRPr="002E4D67">
                    <w:rPr>
                      <w:noProof/>
                      <w:webHidden/>
                      <w:lang w:val="en-US"/>
                    </w:rPr>
                    <w:fldChar w:fldCharType="separate"/>
                  </w:r>
                  <w:r w:rsidR="00372F12">
                    <w:rPr>
                      <w:noProof/>
                      <w:webHidden/>
                      <w:lang w:val="en-US"/>
                    </w:rPr>
                    <w:t>37</w:t>
                  </w:r>
                  <w:r w:rsidRPr="002E4D67">
                    <w:rPr>
                      <w:noProof/>
                      <w:webHidden/>
                      <w:lang w:val="en-US"/>
                    </w:rPr>
                    <w:fldChar w:fldCharType="end"/>
                  </w:r>
                </w:hyperlink>
              </w:p>
              <w:p w14:paraId="1695CED8" w14:textId="70C98573"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62" w:history="1">
                  <w:r w:rsidRPr="002E4D67">
                    <w:rPr>
                      <w:rStyle w:val="Hyperlink"/>
                      <w:noProof/>
                      <w:lang w:val="en-US"/>
                    </w:rPr>
                    <w:t>E.19 Early purchase discount</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_Toc213179162 \h </w:instrText>
                  </w:r>
                  <w:r w:rsidRPr="002E4D67">
                    <w:rPr>
                      <w:noProof/>
                      <w:webHidden/>
                      <w:lang w:val="en-US"/>
                    </w:rPr>
                  </w:r>
                  <w:r w:rsidRPr="002E4D67">
                    <w:rPr>
                      <w:noProof/>
                      <w:webHidden/>
                      <w:lang w:val="en-US"/>
                    </w:rPr>
                    <w:fldChar w:fldCharType="separate"/>
                  </w:r>
                  <w:r w:rsidR="00372F12">
                    <w:rPr>
                      <w:noProof/>
                      <w:webHidden/>
                      <w:lang w:val="en-US"/>
                    </w:rPr>
                    <w:t>38</w:t>
                  </w:r>
                  <w:r w:rsidRPr="002E4D67">
                    <w:rPr>
                      <w:noProof/>
                      <w:webHidden/>
                      <w:lang w:val="en-US"/>
                    </w:rPr>
                    <w:fldChar w:fldCharType="end"/>
                  </w:r>
                </w:hyperlink>
              </w:p>
              <w:p w14:paraId="0C2CF955" w14:textId="01DBD0A0"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63" w:history="1">
                  <w:r w:rsidRPr="002E4D67">
                    <w:rPr>
                      <w:rStyle w:val="Hyperlink"/>
                      <w:noProof/>
                      <w:lang w:val="en-US"/>
                    </w:rPr>
                    <w:t>E.20 Time-limited offer</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_Toc213179163 \h </w:instrText>
                  </w:r>
                  <w:r w:rsidRPr="002E4D67">
                    <w:rPr>
                      <w:noProof/>
                      <w:webHidden/>
                      <w:lang w:val="en-US"/>
                    </w:rPr>
                  </w:r>
                  <w:r w:rsidRPr="002E4D67">
                    <w:rPr>
                      <w:noProof/>
                      <w:webHidden/>
                      <w:lang w:val="en-US"/>
                    </w:rPr>
                    <w:fldChar w:fldCharType="separate"/>
                  </w:r>
                  <w:r w:rsidR="00372F12">
                    <w:rPr>
                      <w:noProof/>
                      <w:webHidden/>
                      <w:lang w:val="en-US"/>
                    </w:rPr>
                    <w:t>40</w:t>
                  </w:r>
                  <w:r w:rsidRPr="002E4D67">
                    <w:rPr>
                      <w:noProof/>
                      <w:webHidden/>
                      <w:lang w:val="en-US"/>
                    </w:rPr>
                    <w:fldChar w:fldCharType="end"/>
                  </w:r>
                </w:hyperlink>
              </w:p>
              <w:p w14:paraId="3465E295" w14:textId="56B59558"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64" w:history="1">
                  <w:r w:rsidRPr="002E4D67">
                    <w:rPr>
                      <w:rStyle w:val="Hyperlink"/>
                      <w:noProof/>
                      <w:lang w:val="en-US"/>
                    </w:rPr>
                    <w:t>E.21 Subscription period beginning</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_Toc213179164 \h </w:instrText>
                  </w:r>
                  <w:r w:rsidRPr="002E4D67">
                    <w:rPr>
                      <w:noProof/>
                      <w:webHidden/>
                      <w:lang w:val="en-US"/>
                    </w:rPr>
                  </w:r>
                  <w:r w:rsidRPr="002E4D67">
                    <w:rPr>
                      <w:noProof/>
                      <w:webHidden/>
                      <w:lang w:val="en-US"/>
                    </w:rPr>
                    <w:fldChar w:fldCharType="separate"/>
                  </w:r>
                  <w:r w:rsidR="00372F12">
                    <w:rPr>
                      <w:noProof/>
                      <w:webHidden/>
                      <w:lang w:val="en-US"/>
                    </w:rPr>
                    <w:t>40</w:t>
                  </w:r>
                  <w:r w:rsidRPr="002E4D67">
                    <w:rPr>
                      <w:noProof/>
                      <w:webHidden/>
                      <w:lang w:val="en-US"/>
                    </w:rPr>
                    <w:fldChar w:fldCharType="end"/>
                  </w:r>
                </w:hyperlink>
              </w:p>
              <w:p w14:paraId="43B24A84" w14:textId="2089ED5D"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65" w:history="1">
                  <w:r w:rsidRPr="002E4D67">
                    <w:rPr>
                      <w:rStyle w:val="Hyperlink"/>
                      <w:noProof/>
                      <w:lang w:val="en-US"/>
                    </w:rPr>
                    <w:t>E.22 Subscription period end</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_Toc213179165 \h </w:instrText>
                  </w:r>
                  <w:r w:rsidRPr="002E4D67">
                    <w:rPr>
                      <w:noProof/>
                      <w:webHidden/>
                      <w:lang w:val="en-US"/>
                    </w:rPr>
                  </w:r>
                  <w:r w:rsidRPr="002E4D67">
                    <w:rPr>
                      <w:noProof/>
                      <w:webHidden/>
                      <w:lang w:val="en-US"/>
                    </w:rPr>
                    <w:fldChar w:fldCharType="separate"/>
                  </w:r>
                  <w:r w:rsidR="00372F12">
                    <w:rPr>
                      <w:noProof/>
                      <w:webHidden/>
                      <w:lang w:val="en-US"/>
                    </w:rPr>
                    <w:t>40</w:t>
                  </w:r>
                  <w:r w:rsidRPr="002E4D67">
                    <w:rPr>
                      <w:noProof/>
                      <w:webHidden/>
                      <w:lang w:val="en-US"/>
                    </w:rPr>
                    <w:fldChar w:fldCharType="end"/>
                  </w:r>
                </w:hyperlink>
              </w:p>
              <w:p w14:paraId="29E1825F" w14:textId="1DAFABB1"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66" w:history="1">
                  <w:r w:rsidRPr="002E4D67">
                    <w:rPr>
                      <w:rStyle w:val="Hyperlink"/>
                      <w:noProof/>
                      <w:lang w:val="en-US"/>
                    </w:rPr>
                    <w:t>E.23 Safeguarding arrangements for offered funds/crypto-assets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_Toc213179166 \h </w:instrText>
                  </w:r>
                  <w:r w:rsidRPr="002E4D67">
                    <w:rPr>
                      <w:noProof/>
                      <w:webHidden/>
                      <w:lang w:val="en-US"/>
                    </w:rPr>
                  </w:r>
                  <w:r w:rsidRPr="002E4D67">
                    <w:rPr>
                      <w:noProof/>
                      <w:webHidden/>
                      <w:lang w:val="en-US"/>
                    </w:rPr>
                    <w:fldChar w:fldCharType="separate"/>
                  </w:r>
                  <w:r w:rsidR="00372F12">
                    <w:rPr>
                      <w:noProof/>
                      <w:webHidden/>
                      <w:lang w:val="en-US"/>
                    </w:rPr>
                    <w:t>40</w:t>
                  </w:r>
                  <w:r w:rsidRPr="002E4D67">
                    <w:rPr>
                      <w:noProof/>
                      <w:webHidden/>
                      <w:lang w:val="en-US"/>
                    </w:rPr>
                    <w:fldChar w:fldCharType="end"/>
                  </w:r>
                </w:hyperlink>
              </w:p>
              <w:p w14:paraId="4B5336E0" w14:textId="62B5DD50"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67" w:history="1">
                  <w:r w:rsidRPr="002E4D67">
                    <w:rPr>
                      <w:rStyle w:val="Hyperlink"/>
                      <w:noProof/>
                      <w:lang w:val="en-US"/>
                    </w:rPr>
                    <w:t>E.24 Payment methods for crypto-asset purchase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_Toc213179167 \h </w:instrText>
                  </w:r>
                  <w:r w:rsidRPr="002E4D67">
                    <w:rPr>
                      <w:noProof/>
                      <w:webHidden/>
                      <w:lang w:val="en-US"/>
                    </w:rPr>
                  </w:r>
                  <w:r w:rsidRPr="002E4D67">
                    <w:rPr>
                      <w:noProof/>
                      <w:webHidden/>
                      <w:lang w:val="en-US"/>
                    </w:rPr>
                    <w:fldChar w:fldCharType="separate"/>
                  </w:r>
                  <w:r w:rsidR="00372F12">
                    <w:rPr>
                      <w:noProof/>
                      <w:webHidden/>
                      <w:lang w:val="en-US"/>
                    </w:rPr>
                    <w:t>41</w:t>
                  </w:r>
                  <w:r w:rsidRPr="002E4D67">
                    <w:rPr>
                      <w:noProof/>
                      <w:webHidden/>
                      <w:lang w:val="en-US"/>
                    </w:rPr>
                    <w:fldChar w:fldCharType="end"/>
                  </w:r>
                </w:hyperlink>
              </w:p>
              <w:p w14:paraId="526D0A56" w14:textId="4DFA8F6A"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68" w:history="1">
                  <w:r w:rsidRPr="002E4D67">
                    <w:rPr>
                      <w:rStyle w:val="Hyperlink"/>
                      <w:noProof/>
                      <w:lang w:val="en-US"/>
                    </w:rPr>
                    <w:t>E.25 Value transfer methods for reimbursement</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_Toc213179168 \h </w:instrText>
                  </w:r>
                  <w:r w:rsidRPr="002E4D67">
                    <w:rPr>
                      <w:noProof/>
                      <w:webHidden/>
                      <w:lang w:val="en-US"/>
                    </w:rPr>
                  </w:r>
                  <w:r w:rsidRPr="002E4D67">
                    <w:rPr>
                      <w:noProof/>
                      <w:webHidden/>
                      <w:lang w:val="en-US"/>
                    </w:rPr>
                    <w:fldChar w:fldCharType="separate"/>
                  </w:r>
                  <w:r w:rsidR="00372F12">
                    <w:rPr>
                      <w:noProof/>
                      <w:webHidden/>
                      <w:lang w:val="en-US"/>
                    </w:rPr>
                    <w:t>42</w:t>
                  </w:r>
                  <w:r w:rsidRPr="002E4D67">
                    <w:rPr>
                      <w:noProof/>
                      <w:webHidden/>
                      <w:lang w:val="en-US"/>
                    </w:rPr>
                    <w:fldChar w:fldCharType="end"/>
                  </w:r>
                </w:hyperlink>
              </w:p>
              <w:p w14:paraId="3C3272B7" w14:textId="1D6C8A44"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69" w:history="1">
                  <w:r w:rsidRPr="002E4D67">
                    <w:rPr>
                      <w:rStyle w:val="Hyperlink"/>
                      <w:noProof/>
                      <w:lang w:val="en-US"/>
                    </w:rPr>
                    <w:t>E.26 Right of withdrawal</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_Toc213179169 \h </w:instrText>
                  </w:r>
                  <w:r w:rsidRPr="002E4D67">
                    <w:rPr>
                      <w:noProof/>
                      <w:webHidden/>
                      <w:lang w:val="en-US"/>
                    </w:rPr>
                  </w:r>
                  <w:r w:rsidRPr="002E4D67">
                    <w:rPr>
                      <w:noProof/>
                      <w:webHidden/>
                      <w:lang w:val="en-US"/>
                    </w:rPr>
                    <w:fldChar w:fldCharType="separate"/>
                  </w:r>
                  <w:r w:rsidR="00372F12">
                    <w:rPr>
                      <w:noProof/>
                      <w:webHidden/>
                      <w:lang w:val="en-US"/>
                    </w:rPr>
                    <w:t>42</w:t>
                  </w:r>
                  <w:r w:rsidRPr="002E4D67">
                    <w:rPr>
                      <w:noProof/>
                      <w:webHidden/>
                      <w:lang w:val="en-US"/>
                    </w:rPr>
                    <w:fldChar w:fldCharType="end"/>
                  </w:r>
                </w:hyperlink>
              </w:p>
              <w:p w14:paraId="7667986A" w14:textId="0E28386A"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70" w:history="1">
                  <w:r w:rsidRPr="002E4D67">
                    <w:rPr>
                      <w:rStyle w:val="Hyperlink"/>
                      <w:noProof/>
                      <w:lang w:val="en-US"/>
                    </w:rPr>
                    <w:t>E.27 Transfer of purchased crypto-assets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_Toc213179170 \h </w:instrText>
                  </w:r>
                  <w:r w:rsidRPr="002E4D67">
                    <w:rPr>
                      <w:noProof/>
                      <w:webHidden/>
                      <w:lang w:val="en-US"/>
                    </w:rPr>
                  </w:r>
                  <w:r w:rsidRPr="002E4D67">
                    <w:rPr>
                      <w:noProof/>
                      <w:webHidden/>
                      <w:lang w:val="en-US"/>
                    </w:rPr>
                    <w:fldChar w:fldCharType="separate"/>
                  </w:r>
                  <w:r w:rsidR="00372F12">
                    <w:rPr>
                      <w:noProof/>
                      <w:webHidden/>
                      <w:lang w:val="en-US"/>
                    </w:rPr>
                    <w:t>43</w:t>
                  </w:r>
                  <w:r w:rsidRPr="002E4D67">
                    <w:rPr>
                      <w:noProof/>
                      <w:webHidden/>
                      <w:lang w:val="en-US"/>
                    </w:rPr>
                    <w:fldChar w:fldCharType="end"/>
                  </w:r>
                </w:hyperlink>
              </w:p>
              <w:p w14:paraId="7F4F14B6" w14:textId="4C4ACF70"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71" w:history="1">
                  <w:r w:rsidRPr="002E4D67">
                    <w:rPr>
                      <w:rStyle w:val="Hyperlink"/>
                      <w:noProof/>
                      <w:lang w:val="en-US"/>
                    </w:rPr>
                    <w:t>E.28 Transfer time schedule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_Toc213179171 \h </w:instrText>
                  </w:r>
                  <w:r w:rsidRPr="002E4D67">
                    <w:rPr>
                      <w:noProof/>
                      <w:webHidden/>
                      <w:lang w:val="en-US"/>
                    </w:rPr>
                  </w:r>
                  <w:r w:rsidRPr="002E4D67">
                    <w:rPr>
                      <w:noProof/>
                      <w:webHidden/>
                      <w:lang w:val="en-US"/>
                    </w:rPr>
                    <w:fldChar w:fldCharType="separate"/>
                  </w:r>
                  <w:r w:rsidR="00372F12">
                    <w:rPr>
                      <w:noProof/>
                      <w:webHidden/>
                      <w:lang w:val="en-US"/>
                    </w:rPr>
                    <w:t>43</w:t>
                  </w:r>
                  <w:r w:rsidRPr="002E4D67">
                    <w:rPr>
                      <w:noProof/>
                      <w:webHidden/>
                      <w:lang w:val="en-US"/>
                    </w:rPr>
                    <w:fldChar w:fldCharType="end"/>
                  </w:r>
                </w:hyperlink>
              </w:p>
              <w:p w14:paraId="17DA9436" w14:textId="6FED51C7"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72" w:history="1">
                  <w:r w:rsidRPr="002E4D67">
                    <w:rPr>
                      <w:rStyle w:val="Hyperlink"/>
                      <w:noProof/>
                      <w:lang w:val="en-US"/>
                    </w:rPr>
                    <w:t>E.29 Purchaser's technical requirements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_Toc213179172 \h </w:instrText>
                  </w:r>
                  <w:r w:rsidRPr="002E4D67">
                    <w:rPr>
                      <w:noProof/>
                      <w:webHidden/>
                      <w:lang w:val="en-US"/>
                    </w:rPr>
                  </w:r>
                  <w:r w:rsidRPr="002E4D67">
                    <w:rPr>
                      <w:noProof/>
                      <w:webHidden/>
                      <w:lang w:val="en-US"/>
                    </w:rPr>
                    <w:fldChar w:fldCharType="separate"/>
                  </w:r>
                  <w:r w:rsidR="00372F12">
                    <w:rPr>
                      <w:noProof/>
                      <w:webHidden/>
                      <w:lang w:val="en-US"/>
                    </w:rPr>
                    <w:t>43</w:t>
                  </w:r>
                  <w:r w:rsidRPr="002E4D67">
                    <w:rPr>
                      <w:noProof/>
                      <w:webHidden/>
                      <w:lang w:val="en-US"/>
                    </w:rPr>
                    <w:fldChar w:fldCharType="end"/>
                  </w:r>
                </w:hyperlink>
              </w:p>
              <w:p w14:paraId="3774AC77" w14:textId="58BF8B1C"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73" w:history="1">
                  <w:r w:rsidRPr="002E4D67">
                    <w:rPr>
                      <w:rStyle w:val="Hyperlink"/>
                      <w:noProof/>
                      <w:lang w:val="en-US"/>
                    </w:rPr>
                    <w:t>E.30 Crypto-asset service provider (CASP) name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_Toc213179173 \h </w:instrText>
                  </w:r>
                  <w:r w:rsidRPr="002E4D67">
                    <w:rPr>
                      <w:noProof/>
                      <w:webHidden/>
                      <w:lang w:val="en-US"/>
                    </w:rPr>
                  </w:r>
                  <w:r w:rsidRPr="002E4D67">
                    <w:rPr>
                      <w:noProof/>
                      <w:webHidden/>
                      <w:lang w:val="en-US"/>
                    </w:rPr>
                    <w:fldChar w:fldCharType="separate"/>
                  </w:r>
                  <w:r w:rsidR="00372F12">
                    <w:rPr>
                      <w:noProof/>
                      <w:webHidden/>
                      <w:lang w:val="en-US"/>
                    </w:rPr>
                    <w:t>44</w:t>
                  </w:r>
                  <w:r w:rsidRPr="002E4D67">
                    <w:rPr>
                      <w:noProof/>
                      <w:webHidden/>
                      <w:lang w:val="en-US"/>
                    </w:rPr>
                    <w:fldChar w:fldCharType="end"/>
                  </w:r>
                </w:hyperlink>
              </w:p>
              <w:p w14:paraId="12092AB3" w14:textId="44F8848A"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74" w:history="1">
                  <w:r w:rsidRPr="002E4D67">
                    <w:rPr>
                      <w:rStyle w:val="Hyperlink"/>
                      <w:noProof/>
                      <w:lang w:val="en-US"/>
                    </w:rPr>
                    <w:t>E.31 CASP identifier</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_Toc213179174 \h </w:instrText>
                  </w:r>
                  <w:r w:rsidRPr="002E4D67">
                    <w:rPr>
                      <w:noProof/>
                      <w:webHidden/>
                      <w:lang w:val="en-US"/>
                    </w:rPr>
                  </w:r>
                  <w:r w:rsidRPr="002E4D67">
                    <w:rPr>
                      <w:noProof/>
                      <w:webHidden/>
                      <w:lang w:val="en-US"/>
                    </w:rPr>
                    <w:fldChar w:fldCharType="separate"/>
                  </w:r>
                  <w:r w:rsidR="00372F12">
                    <w:rPr>
                      <w:noProof/>
                      <w:webHidden/>
                      <w:lang w:val="en-US"/>
                    </w:rPr>
                    <w:t>44</w:t>
                  </w:r>
                  <w:r w:rsidRPr="002E4D67">
                    <w:rPr>
                      <w:noProof/>
                      <w:webHidden/>
                      <w:lang w:val="en-US"/>
                    </w:rPr>
                    <w:fldChar w:fldCharType="end"/>
                  </w:r>
                </w:hyperlink>
              </w:p>
              <w:p w14:paraId="04B7C3DD" w14:textId="0AE16972"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75" w:history="1">
                  <w:r w:rsidRPr="002E4D67">
                    <w:rPr>
                      <w:rStyle w:val="Hyperlink"/>
                      <w:noProof/>
                      <w:lang w:val="en-US"/>
                    </w:rPr>
                    <w:t>E.32 Placement form</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_Toc213179175 \h </w:instrText>
                  </w:r>
                  <w:r w:rsidRPr="002E4D67">
                    <w:rPr>
                      <w:noProof/>
                      <w:webHidden/>
                      <w:lang w:val="en-US"/>
                    </w:rPr>
                  </w:r>
                  <w:r w:rsidRPr="002E4D67">
                    <w:rPr>
                      <w:noProof/>
                      <w:webHidden/>
                      <w:lang w:val="en-US"/>
                    </w:rPr>
                    <w:fldChar w:fldCharType="separate"/>
                  </w:r>
                  <w:r w:rsidR="00372F12">
                    <w:rPr>
                      <w:noProof/>
                      <w:webHidden/>
                      <w:lang w:val="en-US"/>
                    </w:rPr>
                    <w:t>44</w:t>
                  </w:r>
                  <w:r w:rsidRPr="002E4D67">
                    <w:rPr>
                      <w:noProof/>
                      <w:webHidden/>
                      <w:lang w:val="en-US"/>
                    </w:rPr>
                    <w:fldChar w:fldCharType="end"/>
                  </w:r>
                </w:hyperlink>
              </w:p>
              <w:p w14:paraId="18E1968E" w14:textId="2E3F4958"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76" w:history="1">
                  <w:r w:rsidRPr="002E4D67">
                    <w:rPr>
                      <w:rStyle w:val="Hyperlink"/>
                      <w:noProof/>
                      <w:lang w:val="en-US"/>
                    </w:rPr>
                    <w:t>E.33 Trading platforms name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_Toc213179176 \h </w:instrText>
                  </w:r>
                  <w:r w:rsidRPr="002E4D67">
                    <w:rPr>
                      <w:noProof/>
                      <w:webHidden/>
                      <w:lang w:val="en-US"/>
                    </w:rPr>
                  </w:r>
                  <w:r w:rsidRPr="002E4D67">
                    <w:rPr>
                      <w:noProof/>
                      <w:webHidden/>
                      <w:lang w:val="en-US"/>
                    </w:rPr>
                    <w:fldChar w:fldCharType="separate"/>
                  </w:r>
                  <w:r w:rsidR="00372F12">
                    <w:rPr>
                      <w:noProof/>
                      <w:webHidden/>
                      <w:lang w:val="en-US"/>
                    </w:rPr>
                    <w:t>44</w:t>
                  </w:r>
                  <w:r w:rsidRPr="002E4D67">
                    <w:rPr>
                      <w:noProof/>
                      <w:webHidden/>
                      <w:lang w:val="en-US"/>
                    </w:rPr>
                    <w:fldChar w:fldCharType="end"/>
                  </w:r>
                </w:hyperlink>
              </w:p>
              <w:p w14:paraId="215991F1" w14:textId="4FEB741D"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77" w:history="1">
                  <w:r w:rsidRPr="002E4D67">
                    <w:rPr>
                      <w:rStyle w:val="Hyperlink"/>
                      <w:noProof/>
                      <w:lang w:val="en-US"/>
                    </w:rPr>
                    <w:t>E.34 Trading Platforms Market identifier code (MIC)</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_Toc213179177 \h </w:instrText>
                  </w:r>
                  <w:r w:rsidRPr="002E4D67">
                    <w:rPr>
                      <w:noProof/>
                      <w:webHidden/>
                      <w:lang w:val="en-US"/>
                    </w:rPr>
                  </w:r>
                  <w:r w:rsidRPr="002E4D67">
                    <w:rPr>
                      <w:noProof/>
                      <w:webHidden/>
                      <w:lang w:val="en-US"/>
                    </w:rPr>
                    <w:fldChar w:fldCharType="separate"/>
                  </w:r>
                  <w:r w:rsidR="00372F12">
                    <w:rPr>
                      <w:noProof/>
                      <w:webHidden/>
                      <w:lang w:val="en-US"/>
                    </w:rPr>
                    <w:t>44</w:t>
                  </w:r>
                  <w:r w:rsidRPr="002E4D67">
                    <w:rPr>
                      <w:noProof/>
                      <w:webHidden/>
                      <w:lang w:val="en-US"/>
                    </w:rPr>
                    <w:fldChar w:fldCharType="end"/>
                  </w:r>
                </w:hyperlink>
              </w:p>
              <w:p w14:paraId="0440818D" w14:textId="1E4E324A"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78" w:history="1">
                  <w:r w:rsidRPr="002E4D67">
                    <w:rPr>
                      <w:rStyle w:val="Hyperlink"/>
                      <w:noProof/>
                      <w:lang w:val="en-US"/>
                    </w:rPr>
                    <w:t>E.35 Trading platforms access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_Toc213179178 \h </w:instrText>
                  </w:r>
                  <w:r w:rsidRPr="002E4D67">
                    <w:rPr>
                      <w:noProof/>
                      <w:webHidden/>
                      <w:lang w:val="en-US"/>
                    </w:rPr>
                  </w:r>
                  <w:r w:rsidRPr="002E4D67">
                    <w:rPr>
                      <w:noProof/>
                      <w:webHidden/>
                      <w:lang w:val="en-US"/>
                    </w:rPr>
                    <w:fldChar w:fldCharType="separate"/>
                  </w:r>
                  <w:r w:rsidR="00372F12">
                    <w:rPr>
                      <w:noProof/>
                      <w:webHidden/>
                      <w:lang w:val="en-US"/>
                    </w:rPr>
                    <w:t>44</w:t>
                  </w:r>
                  <w:r w:rsidRPr="002E4D67">
                    <w:rPr>
                      <w:noProof/>
                      <w:webHidden/>
                      <w:lang w:val="en-US"/>
                    </w:rPr>
                    <w:fldChar w:fldCharType="end"/>
                  </w:r>
                </w:hyperlink>
              </w:p>
              <w:p w14:paraId="39B6BE23" w14:textId="537C8BE1"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79" w:history="1">
                  <w:r w:rsidRPr="002E4D67">
                    <w:rPr>
                      <w:rStyle w:val="Hyperlink"/>
                      <w:noProof/>
                      <w:lang w:val="en-US"/>
                    </w:rPr>
                    <w:t>E.36 Involved costs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_Toc213179179 \h </w:instrText>
                  </w:r>
                  <w:r w:rsidRPr="002E4D67">
                    <w:rPr>
                      <w:noProof/>
                      <w:webHidden/>
                      <w:lang w:val="en-US"/>
                    </w:rPr>
                  </w:r>
                  <w:r w:rsidRPr="002E4D67">
                    <w:rPr>
                      <w:noProof/>
                      <w:webHidden/>
                      <w:lang w:val="en-US"/>
                    </w:rPr>
                    <w:fldChar w:fldCharType="separate"/>
                  </w:r>
                  <w:r w:rsidR="00372F12">
                    <w:rPr>
                      <w:noProof/>
                      <w:webHidden/>
                      <w:lang w:val="en-US"/>
                    </w:rPr>
                    <w:t>44</w:t>
                  </w:r>
                  <w:r w:rsidRPr="002E4D67">
                    <w:rPr>
                      <w:noProof/>
                      <w:webHidden/>
                      <w:lang w:val="en-US"/>
                    </w:rPr>
                    <w:fldChar w:fldCharType="end"/>
                  </w:r>
                </w:hyperlink>
              </w:p>
              <w:p w14:paraId="32A91C3B" w14:textId="1B90F1B2"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80" w:history="1">
                  <w:r w:rsidRPr="002E4D67">
                    <w:rPr>
                      <w:rStyle w:val="Hyperlink"/>
                      <w:noProof/>
                      <w:lang w:val="en-US"/>
                    </w:rPr>
                    <w:t>E.37 Offer expenses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_Toc213179180 \h </w:instrText>
                  </w:r>
                  <w:r w:rsidRPr="002E4D67">
                    <w:rPr>
                      <w:noProof/>
                      <w:webHidden/>
                      <w:lang w:val="en-US"/>
                    </w:rPr>
                  </w:r>
                  <w:r w:rsidRPr="002E4D67">
                    <w:rPr>
                      <w:noProof/>
                      <w:webHidden/>
                      <w:lang w:val="en-US"/>
                    </w:rPr>
                    <w:fldChar w:fldCharType="separate"/>
                  </w:r>
                  <w:r w:rsidR="00372F12">
                    <w:rPr>
                      <w:noProof/>
                      <w:webHidden/>
                      <w:lang w:val="en-US"/>
                    </w:rPr>
                    <w:t>44</w:t>
                  </w:r>
                  <w:r w:rsidRPr="002E4D67">
                    <w:rPr>
                      <w:noProof/>
                      <w:webHidden/>
                      <w:lang w:val="en-US"/>
                    </w:rPr>
                    <w:fldChar w:fldCharType="end"/>
                  </w:r>
                </w:hyperlink>
              </w:p>
              <w:p w14:paraId="1CACE345" w14:textId="47F83D20"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81" w:history="1">
                  <w:r w:rsidRPr="002E4D67">
                    <w:rPr>
                      <w:rStyle w:val="Hyperlink"/>
                      <w:noProof/>
                      <w:lang w:val="en-US"/>
                    </w:rPr>
                    <w:t>E.38 Conflicts of interest</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_Toc213179181 \h </w:instrText>
                  </w:r>
                  <w:r w:rsidRPr="002E4D67">
                    <w:rPr>
                      <w:noProof/>
                      <w:webHidden/>
                      <w:lang w:val="en-US"/>
                    </w:rPr>
                  </w:r>
                  <w:r w:rsidRPr="002E4D67">
                    <w:rPr>
                      <w:noProof/>
                      <w:webHidden/>
                      <w:lang w:val="en-US"/>
                    </w:rPr>
                    <w:fldChar w:fldCharType="separate"/>
                  </w:r>
                  <w:r w:rsidR="00372F12">
                    <w:rPr>
                      <w:noProof/>
                      <w:webHidden/>
                      <w:lang w:val="en-US"/>
                    </w:rPr>
                    <w:t>46</w:t>
                  </w:r>
                  <w:r w:rsidRPr="002E4D67">
                    <w:rPr>
                      <w:noProof/>
                      <w:webHidden/>
                      <w:lang w:val="en-US"/>
                    </w:rPr>
                    <w:fldChar w:fldCharType="end"/>
                  </w:r>
                </w:hyperlink>
              </w:p>
              <w:p w14:paraId="2F978DC2" w14:textId="5BF31A80"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82" w:history="1">
                  <w:r w:rsidRPr="002E4D67">
                    <w:rPr>
                      <w:rStyle w:val="Hyperlink"/>
                      <w:noProof/>
                      <w:lang w:val="en-US"/>
                    </w:rPr>
                    <w:t>E.39 Applicable law</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_Toc213179182 \h </w:instrText>
                  </w:r>
                  <w:r w:rsidRPr="002E4D67">
                    <w:rPr>
                      <w:noProof/>
                      <w:webHidden/>
                      <w:lang w:val="en-US"/>
                    </w:rPr>
                  </w:r>
                  <w:r w:rsidRPr="002E4D67">
                    <w:rPr>
                      <w:noProof/>
                      <w:webHidden/>
                      <w:lang w:val="en-US"/>
                    </w:rPr>
                    <w:fldChar w:fldCharType="separate"/>
                  </w:r>
                  <w:r w:rsidR="00372F12">
                    <w:rPr>
                      <w:noProof/>
                      <w:webHidden/>
                      <w:lang w:val="en-US"/>
                    </w:rPr>
                    <w:t>47</w:t>
                  </w:r>
                  <w:r w:rsidRPr="002E4D67">
                    <w:rPr>
                      <w:noProof/>
                      <w:webHidden/>
                      <w:lang w:val="en-US"/>
                    </w:rPr>
                    <w:fldChar w:fldCharType="end"/>
                  </w:r>
                </w:hyperlink>
              </w:p>
              <w:p w14:paraId="64260E16" w14:textId="4B5F91DC"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83" w:history="1">
                  <w:r w:rsidRPr="002E4D67">
                    <w:rPr>
                      <w:rStyle w:val="Hyperlink"/>
                      <w:noProof/>
                      <w:lang w:val="en-US"/>
                    </w:rPr>
                    <w:t>E.40 Competent court</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_Toc213179183 \h </w:instrText>
                  </w:r>
                  <w:r w:rsidRPr="002E4D67">
                    <w:rPr>
                      <w:noProof/>
                      <w:webHidden/>
                      <w:lang w:val="en-US"/>
                    </w:rPr>
                  </w:r>
                  <w:r w:rsidRPr="002E4D67">
                    <w:rPr>
                      <w:noProof/>
                      <w:webHidden/>
                      <w:lang w:val="en-US"/>
                    </w:rPr>
                    <w:fldChar w:fldCharType="separate"/>
                  </w:r>
                  <w:r w:rsidR="00372F12">
                    <w:rPr>
                      <w:noProof/>
                      <w:webHidden/>
                      <w:lang w:val="en-US"/>
                    </w:rPr>
                    <w:t>47</w:t>
                  </w:r>
                  <w:r w:rsidRPr="002E4D67">
                    <w:rPr>
                      <w:noProof/>
                      <w:webHidden/>
                      <w:lang w:val="en-US"/>
                    </w:rPr>
                    <w:fldChar w:fldCharType="end"/>
                  </w:r>
                </w:hyperlink>
              </w:p>
              <w:p w14:paraId="22F74E31" w14:textId="34270249"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84" w:history="1">
                  <w:r w:rsidRPr="002E4D67">
                    <w:rPr>
                      <w:rStyle w:val="Hyperlink"/>
                      <w:noProof/>
                      <w:lang w:val="en-US"/>
                    </w:rPr>
                    <w:t>Part F – Information about the crypto-assets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_Toc213179184 \h </w:instrText>
                  </w:r>
                  <w:r w:rsidRPr="002E4D67">
                    <w:rPr>
                      <w:noProof/>
                      <w:webHidden/>
                      <w:lang w:val="en-US"/>
                    </w:rPr>
                  </w:r>
                  <w:r w:rsidRPr="002E4D67">
                    <w:rPr>
                      <w:noProof/>
                      <w:webHidden/>
                      <w:lang w:val="en-US"/>
                    </w:rPr>
                    <w:fldChar w:fldCharType="separate"/>
                  </w:r>
                  <w:r w:rsidR="00372F12">
                    <w:rPr>
                      <w:noProof/>
                      <w:webHidden/>
                      <w:lang w:val="en-US"/>
                    </w:rPr>
                    <w:t>47</w:t>
                  </w:r>
                  <w:r w:rsidRPr="002E4D67">
                    <w:rPr>
                      <w:noProof/>
                      <w:webHidden/>
                      <w:lang w:val="en-US"/>
                    </w:rPr>
                    <w:fldChar w:fldCharType="end"/>
                  </w:r>
                </w:hyperlink>
              </w:p>
              <w:p w14:paraId="047F6C5F" w14:textId="38D283B7"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85" w:history="1">
                  <w:r w:rsidRPr="002E4D67">
                    <w:rPr>
                      <w:rStyle w:val="Hyperlink"/>
                      <w:noProof/>
                      <w:lang w:val="en-US"/>
                    </w:rPr>
                    <w:t>F.1 Crypto-asset type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_Toc213179185 \h </w:instrText>
                  </w:r>
                  <w:r w:rsidRPr="002E4D67">
                    <w:rPr>
                      <w:noProof/>
                      <w:webHidden/>
                      <w:lang w:val="en-US"/>
                    </w:rPr>
                  </w:r>
                  <w:r w:rsidRPr="002E4D67">
                    <w:rPr>
                      <w:noProof/>
                      <w:webHidden/>
                      <w:lang w:val="en-US"/>
                    </w:rPr>
                    <w:fldChar w:fldCharType="separate"/>
                  </w:r>
                  <w:r w:rsidR="00372F12">
                    <w:rPr>
                      <w:noProof/>
                      <w:webHidden/>
                      <w:lang w:val="en-US"/>
                    </w:rPr>
                    <w:t>47</w:t>
                  </w:r>
                  <w:r w:rsidRPr="002E4D67">
                    <w:rPr>
                      <w:noProof/>
                      <w:webHidden/>
                      <w:lang w:val="en-US"/>
                    </w:rPr>
                    <w:fldChar w:fldCharType="end"/>
                  </w:r>
                </w:hyperlink>
              </w:p>
              <w:p w14:paraId="276D1F54" w14:textId="3572433E"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86" w:history="1">
                  <w:r w:rsidRPr="002E4D67">
                    <w:rPr>
                      <w:rStyle w:val="Hyperlink"/>
                      <w:noProof/>
                      <w:lang w:val="en-US"/>
                    </w:rPr>
                    <w:t>F.2 Crypto-asset functionality</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_Toc213179186 \h </w:instrText>
                  </w:r>
                  <w:r w:rsidRPr="002E4D67">
                    <w:rPr>
                      <w:noProof/>
                      <w:webHidden/>
                      <w:lang w:val="en-US"/>
                    </w:rPr>
                  </w:r>
                  <w:r w:rsidRPr="002E4D67">
                    <w:rPr>
                      <w:noProof/>
                      <w:webHidden/>
                      <w:lang w:val="en-US"/>
                    </w:rPr>
                    <w:fldChar w:fldCharType="separate"/>
                  </w:r>
                  <w:r w:rsidR="00372F12">
                    <w:rPr>
                      <w:noProof/>
                      <w:webHidden/>
                      <w:lang w:val="en-US"/>
                    </w:rPr>
                    <w:t>47</w:t>
                  </w:r>
                  <w:r w:rsidRPr="002E4D67">
                    <w:rPr>
                      <w:noProof/>
                      <w:webHidden/>
                      <w:lang w:val="en-US"/>
                    </w:rPr>
                    <w:fldChar w:fldCharType="end"/>
                  </w:r>
                </w:hyperlink>
              </w:p>
              <w:p w14:paraId="20579071" w14:textId="081C0DF2"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87" w:history="1">
                  <w:r w:rsidRPr="002E4D67">
                    <w:rPr>
                      <w:rStyle w:val="Hyperlink"/>
                      <w:noProof/>
                      <w:lang w:val="en-US"/>
                    </w:rPr>
                    <w:t>F.3 Planned application of functionalities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_Toc213179187 \h </w:instrText>
                  </w:r>
                  <w:r w:rsidRPr="002E4D67">
                    <w:rPr>
                      <w:noProof/>
                      <w:webHidden/>
                      <w:lang w:val="en-US"/>
                    </w:rPr>
                  </w:r>
                  <w:r w:rsidRPr="002E4D67">
                    <w:rPr>
                      <w:noProof/>
                      <w:webHidden/>
                      <w:lang w:val="en-US"/>
                    </w:rPr>
                    <w:fldChar w:fldCharType="separate"/>
                  </w:r>
                  <w:r w:rsidR="00372F12">
                    <w:rPr>
                      <w:noProof/>
                      <w:webHidden/>
                      <w:lang w:val="en-US"/>
                    </w:rPr>
                    <w:t>48</w:t>
                  </w:r>
                  <w:r w:rsidRPr="002E4D67">
                    <w:rPr>
                      <w:noProof/>
                      <w:webHidden/>
                      <w:lang w:val="en-US"/>
                    </w:rPr>
                    <w:fldChar w:fldCharType="end"/>
                  </w:r>
                </w:hyperlink>
              </w:p>
              <w:p w14:paraId="5A4CF7FF" w14:textId="09F1DE30"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88" w:history="1">
                  <w:r w:rsidRPr="002E4D67">
                    <w:rPr>
                      <w:rStyle w:val="Hyperlink"/>
                      <w:noProof/>
                      <w:lang w:val="en-US"/>
                    </w:rPr>
                    <w:t>F.4 Type of crypto-asset white paper</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_Toc213179188 \h </w:instrText>
                  </w:r>
                  <w:r w:rsidRPr="002E4D67">
                    <w:rPr>
                      <w:noProof/>
                      <w:webHidden/>
                      <w:lang w:val="en-US"/>
                    </w:rPr>
                  </w:r>
                  <w:r w:rsidRPr="002E4D67">
                    <w:rPr>
                      <w:noProof/>
                      <w:webHidden/>
                      <w:lang w:val="en-US"/>
                    </w:rPr>
                    <w:fldChar w:fldCharType="separate"/>
                  </w:r>
                  <w:r w:rsidR="00372F12">
                    <w:rPr>
                      <w:noProof/>
                      <w:webHidden/>
                      <w:lang w:val="en-US"/>
                    </w:rPr>
                    <w:t>49</w:t>
                  </w:r>
                  <w:r w:rsidRPr="002E4D67">
                    <w:rPr>
                      <w:noProof/>
                      <w:webHidden/>
                      <w:lang w:val="en-US"/>
                    </w:rPr>
                    <w:fldChar w:fldCharType="end"/>
                  </w:r>
                </w:hyperlink>
              </w:p>
              <w:p w14:paraId="55D2CD46" w14:textId="6A4ADF6E"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89" w:history="1">
                  <w:r w:rsidRPr="002E4D67">
                    <w:rPr>
                      <w:rStyle w:val="Hyperlink"/>
                      <w:noProof/>
                      <w:lang w:val="en-US"/>
                    </w:rPr>
                    <w:t>F.5 The type of submission</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_Toc213179189 \h </w:instrText>
                  </w:r>
                  <w:r w:rsidRPr="002E4D67">
                    <w:rPr>
                      <w:noProof/>
                      <w:webHidden/>
                      <w:lang w:val="en-US"/>
                    </w:rPr>
                  </w:r>
                  <w:r w:rsidRPr="002E4D67">
                    <w:rPr>
                      <w:noProof/>
                      <w:webHidden/>
                      <w:lang w:val="en-US"/>
                    </w:rPr>
                    <w:fldChar w:fldCharType="separate"/>
                  </w:r>
                  <w:r w:rsidR="00372F12">
                    <w:rPr>
                      <w:noProof/>
                      <w:webHidden/>
                      <w:lang w:val="en-US"/>
                    </w:rPr>
                    <w:t>49</w:t>
                  </w:r>
                  <w:r w:rsidRPr="002E4D67">
                    <w:rPr>
                      <w:noProof/>
                      <w:webHidden/>
                      <w:lang w:val="en-US"/>
                    </w:rPr>
                    <w:fldChar w:fldCharType="end"/>
                  </w:r>
                </w:hyperlink>
              </w:p>
              <w:p w14:paraId="1319D5E4" w14:textId="71E7FC91"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90" w:history="1">
                  <w:r w:rsidRPr="002E4D67">
                    <w:rPr>
                      <w:rStyle w:val="Hyperlink"/>
                      <w:noProof/>
                      <w:lang w:val="en-US"/>
                    </w:rPr>
                    <w:t>F.6 Crypto-asset characteristics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_Toc213179190 \h </w:instrText>
                  </w:r>
                  <w:r w:rsidRPr="002E4D67">
                    <w:rPr>
                      <w:noProof/>
                      <w:webHidden/>
                      <w:lang w:val="en-US"/>
                    </w:rPr>
                  </w:r>
                  <w:r w:rsidRPr="002E4D67">
                    <w:rPr>
                      <w:noProof/>
                      <w:webHidden/>
                      <w:lang w:val="en-US"/>
                    </w:rPr>
                    <w:fldChar w:fldCharType="separate"/>
                  </w:r>
                  <w:r w:rsidR="00372F12">
                    <w:rPr>
                      <w:noProof/>
                      <w:webHidden/>
                      <w:lang w:val="en-US"/>
                    </w:rPr>
                    <w:t>49</w:t>
                  </w:r>
                  <w:r w:rsidRPr="002E4D67">
                    <w:rPr>
                      <w:noProof/>
                      <w:webHidden/>
                      <w:lang w:val="en-US"/>
                    </w:rPr>
                    <w:fldChar w:fldCharType="end"/>
                  </w:r>
                </w:hyperlink>
              </w:p>
              <w:p w14:paraId="612F4F09" w14:textId="51F8ACC4"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91" w:history="1">
                  <w:r w:rsidRPr="002E4D67">
                    <w:rPr>
                      <w:rStyle w:val="Hyperlink"/>
                      <w:noProof/>
                      <w:lang w:val="en-US"/>
                    </w:rPr>
                    <w:t>F.7 Commercial name or trading name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_Toc213179191 \h </w:instrText>
                  </w:r>
                  <w:r w:rsidRPr="002E4D67">
                    <w:rPr>
                      <w:noProof/>
                      <w:webHidden/>
                      <w:lang w:val="en-US"/>
                    </w:rPr>
                  </w:r>
                  <w:r w:rsidRPr="002E4D67">
                    <w:rPr>
                      <w:noProof/>
                      <w:webHidden/>
                      <w:lang w:val="en-US"/>
                    </w:rPr>
                    <w:fldChar w:fldCharType="separate"/>
                  </w:r>
                  <w:r w:rsidR="00372F12">
                    <w:rPr>
                      <w:noProof/>
                      <w:webHidden/>
                      <w:lang w:val="en-US"/>
                    </w:rPr>
                    <w:t>50</w:t>
                  </w:r>
                  <w:r w:rsidRPr="002E4D67">
                    <w:rPr>
                      <w:noProof/>
                      <w:webHidden/>
                      <w:lang w:val="en-US"/>
                    </w:rPr>
                    <w:fldChar w:fldCharType="end"/>
                  </w:r>
                </w:hyperlink>
              </w:p>
              <w:p w14:paraId="6EF809D9" w14:textId="078E9C38"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92" w:history="1">
                  <w:r w:rsidRPr="002E4D67">
                    <w:rPr>
                      <w:rStyle w:val="Hyperlink"/>
                      <w:noProof/>
                      <w:lang w:val="en-US"/>
                    </w:rPr>
                    <w:t>F.8 Website of the issuer</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_Toc213179192 \h </w:instrText>
                  </w:r>
                  <w:r w:rsidRPr="002E4D67">
                    <w:rPr>
                      <w:noProof/>
                      <w:webHidden/>
                      <w:lang w:val="en-US"/>
                    </w:rPr>
                  </w:r>
                  <w:r w:rsidRPr="002E4D67">
                    <w:rPr>
                      <w:noProof/>
                      <w:webHidden/>
                      <w:lang w:val="en-US"/>
                    </w:rPr>
                    <w:fldChar w:fldCharType="separate"/>
                  </w:r>
                  <w:r w:rsidR="00372F12">
                    <w:rPr>
                      <w:noProof/>
                      <w:webHidden/>
                      <w:lang w:val="en-US"/>
                    </w:rPr>
                    <w:t>50</w:t>
                  </w:r>
                  <w:r w:rsidRPr="002E4D67">
                    <w:rPr>
                      <w:noProof/>
                      <w:webHidden/>
                      <w:lang w:val="en-US"/>
                    </w:rPr>
                    <w:fldChar w:fldCharType="end"/>
                  </w:r>
                </w:hyperlink>
              </w:p>
              <w:p w14:paraId="3C9EB428" w14:textId="316F496D"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93" w:history="1">
                  <w:r w:rsidRPr="002E4D67">
                    <w:rPr>
                      <w:rStyle w:val="Hyperlink"/>
                      <w:noProof/>
                      <w:lang w:val="en-US"/>
                    </w:rPr>
                    <w:t>F.9 Starting date of offer to the public or admission to trading</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_Toc213179193 \h </w:instrText>
                  </w:r>
                  <w:r w:rsidRPr="002E4D67">
                    <w:rPr>
                      <w:noProof/>
                      <w:webHidden/>
                      <w:lang w:val="en-US"/>
                    </w:rPr>
                  </w:r>
                  <w:r w:rsidRPr="002E4D67">
                    <w:rPr>
                      <w:noProof/>
                      <w:webHidden/>
                      <w:lang w:val="en-US"/>
                    </w:rPr>
                    <w:fldChar w:fldCharType="separate"/>
                  </w:r>
                  <w:r w:rsidR="00372F12">
                    <w:rPr>
                      <w:noProof/>
                      <w:webHidden/>
                      <w:lang w:val="en-US"/>
                    </w:rPr>
                    <w:t>50</w:t>
                  </w:r>
                  <w:r w:rsidRPr="002E4D67">
                    <w:rPr>
                      <w:noProof/>
                      <w:webHidden/>
                      <w:lang w:val="en-US"/>
                    </w:rPr>
                    <w:fldChar w:fldCharType="end"/>
                  </w:r>
                </w:hyperlink>
              </w:p>
              <w:p w14:paraId="2F7232C8" w14:textId="36BB239B"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94" w:history="1">
                  <w:r w:rsidRPr="002E4D67">
                    <w:rPr>
                      <w:rStyle w:val="Hyperlink"/>
                      <w:noProof/>
                      <w:lang w:val="en-US"/>
                    </w:rPr>
                    <w:t>F.10 Publication date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_Toc213179194 \h </w:instrText>
                  </w:r>
                  <w:r w:rsidRPr="002E4D67">
                    <w:rPr>
                      <w:noProof/>
                      <w:webHidden/>
                      <w:lang w:val="en-US"/>
                    </w:rPr>
                  </w:r>
                  <w:r w:rsidRPr="002E4D67">
                    <w:rPr>
                      <w:noProof/>
                      <w:webHidden/>
                      <w:lang w:val="en-US"/>
                    </w:rPr>
                    <w:fldChar w:fldCharType="separate"/>
                  </w:r>
                  <w:r w:rsidR="00372F12">
                    <w:rPr>
                      <w:noProof/>
                      <w:webHidden/>
                      <w:lang w:val="en-US"/>
                    </w:rPr>
                    <w:t>50</w:t>
                  </w:r>
                  <w:r w:rsidRPr="002E4D67">
                    <w:rPr>
                      <w:noProof/>
                      <w:webHidden/>
                      <w:lang w:val="en-US"/>
                    </w:rPr>
                    <w:fldChar w:fldCharType="end"/>
                  </w:r>
                </w:hyperlink>
              </w:p>
              <w:p w14:paraId="4B12EABD" w14:textId="107E0765"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95" w:history="1">
                  <w:r w:rsidRPr="002E4D67">
                    <w:rPr>
                      <w:rStyle w:val="Hyperlink"/>
                      <w:noProof/>
                      <w:lang w:val="en-US"/>
                    </w:rPr>
                    <w:t>F.11 Any other services provided by the issuer</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_Toc213179195 \h </w:instrText>
                  </w:r>
                  <w:r w:rsidRPr="002E4D67">
                    <w:rPr>
                      <w:noProof/>
                      <w:webHidden/>
                      <w:lang w:val="en-US"/>
                    </w:rPr>
                  </w:r>
                  <w:r w:rsidRPr="002E4D67">
                    <w:rPr>
                      <w:noProof/>
                      <w:webHidden/>
                      <w:lang w:val="en-US"/>
                    </w:rPr>
                    <w:fldChar w:fldCharType="separate"/>
                  </w:r>
                  <w:r w:rsidR="00372F12">
                    <w:rPr>
                      <w:noProof/>
                      <w:webHidden/>
                      <w:lang w:val="en-US"/>
                    </w:rPr>
                    <w:t>50</w:t>
                  </w:r>
                  <w:r w:rsidRPr="002E4D67">
                    <w:rPr>
                      <w:noProof/>
                      <w:webHidden/>
                      <w:lang w:val="en-US"/>
                    </w:rPr>
                    <w:fldChar w:fldCharType="end"/>
                  </w:r>
                </w:hyperlink>
              </w:p>
              <w:p w14:paraId="2FC42476" w14:textId="4D79FBA3"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96" w:history="1">
                  <w:r w:rsidRPr="002E4D67">
                    <w:rPr>
                      <w:rStyle w:val="Hyperlink"/>
                      <w:noProof/>
                      <w:lang w:val="en-US"/>
                    </w:rPr>
                    <w:t>F.12 Language or languages of the crypto-asset white paper</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_Toc213179196 \h </w:instrText>
                  </w:r>
                  <w:r w:rsidRPr="002E4D67">
                    <w:rPr>
                      <w:noProof/>
                      <w:webHidden/>
                      <w:lang w:val="en-US"/>
                    </w:rPr>
                  </w:r>
                  <w:r w:rsidRPr="002E4D67">
                    <w:rPr>
                      <w:noProof/>
                      <w:webHidden/>
                      <w:lang w:val="en-US"/>
                    </w:rPr>
                    <w:fldChar w:fldCharType="separate"/>
                  </w:r>
                  <w:r w:rsidR="00372F12">
                    <w:rPr>
                      <w:noProof/>
                      <w:webHidden/>
                      <w:lang w:val="en-US"/>
                    </w:rPr>
                    <w:t>51</w:t>
                  </w:r>
                  <w:r w:rsidRPr="002E4D67">
                    <w:rPr>
                      <w:noProof/>
                      <w:webHidden/>
                      <w:lang w:val="en-US"/>
                    </w:rPr>
                    <w:fldChar w:fldCharType="end"/>
                  </w:r>
                </w:hyperlink>
              </w:p>
              <w:p w14:paraId="12B78781" w14:textId="28EB00BE"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97" w:history="1">
                  <w:r w:rsidRPr="002E4D67">
                    <w:rPr>
                      <w:rStyle w:val="Hyperlink"/>
                      <w:noProof/>
                      <w:lang w:val="en-US"/>
                    </w:rPr>
                    <w:t>F.13 Digital token identifier code used to uniquely identify the crypto-asset or each of the several crypto assets to which the white paper relates, where available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_Toc213179197 \h </w:instrText>
                  </w:r>
                  <w:r w:rsidRPr="002E4D67">
                    <w:rPr>
                      <w:noProof/>
                      <w:webHidden/>
                      <w:lang w:val="en-US"/>
                    </w:rPr>
                  </w:r>
                  <w:r w:rsidRPr="002E4D67">
                    <w:rPr>
                      <w:noProof/>
                      <w:webHidden/>
                      <w:lang w:val="en-US"/>
                    </w:rPr>
                    <w:fldChar w:fldCharType="separate"/>
                  </w:r>
                  <w:r w:rsidR="00372F12">
                    <w:rPr>
                      <w:noProof/>
                      <w:webHidden/>
                      <w:lang w:val="en-US"/>
                    </w:rPr>
                    <w:t>51</w:t>
                  </w:r>
                  <w:r w:rsidRPr="002E4D67">
                    <w:rPr>
                      <w:noProof/>
                      <w:webHidden/>
                      <w:lang w:val="en-US"/>
                    </w:rPr>
                    <w:fldChar w:fldCharType="end"/>
                  </w:r>
                </w:hyperlink>
              </w:p>
              <w:p w14:paraId="25D62207" w14:textId="3702E672"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98" w:history="1">
                  <w:r w:rsidRPr="002E4D67">
                    <w:rPr>
                      <w:rStyle w:val="Hyperlink"/>
                      <w:noProof/>
                      <w:lang w:val="en-US"/>
                    </w:rPr>
                    <w:t>F.14 Functionally fungible group digital token identifier, where available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_Toc213179198 \h </w:instrText>
                  </w:r>
                  <w:r w:rsidRPr="002E4D67">
                    <w:rPr>
                      <w:noProof/>
                      <w:webHidden/>
                      <w:lang w:val="en-US"/>
                    </w:rPr>
                  </w:r>
                  <w:r w:rsidRPr="002E4D67">
                    <w:rPr>
                      <w:noProof/>
                      <w:webHidden/>
                      <w:lang w:val="en-US"/>
                    </w:rPr>
                    <w:fldChar w:fldCharType="separate"/>
                  </w:r>
                  <w:r w:rsidR="00372F12">
                    <w:rPr>
                      <w:noProof/>
                      <w:webHidden/>
                      <w:lang w:val="en-US"/>
                    </w:rPr>
                    <w:t>51</w:t>
                  </w:r>
                  <w:r w:rsidRPr="002E4D67">
                    <w:rPr>
                      <w:noProof/>
                      <w:webHidden/>
                      <w:lang w:val="en-US"/>
                    </w:rPr>
                    <w:fldChar w:fldCharType="end"/>
                  </w:r>
                </w:hyperlink>
              </w:p>
              <w:p w14:paraId="22E428EE" w14:textId="552EBC2A"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199" w:history="1">
                  <w:r w:rsidRPr="002E4D67">
                    <w:rPr>
                      <w:rStyle w:val="Hyperlink"/>
                      <w:noProof/>
                      <w:lang w:val="en-US"/>
                    </w:rPr>
                    <w:t>F.15 Voluntary data flag</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_Toc213179199 \h </w:instrText>
                  </w:r>
                  <w:r w:rsidRPr="002E4D67">
                    <w:rPr>
                      <w:noProof/>
                      <w:webHidden/>
                      <w:lang w:val="en-US"/>
                    </w:rPr>
                  </w:r>
                  <w:r w:rsidRPr="002E4D67">
                    <w:rPr>
                      <w:noProof/>
                      <w:webHidden/>
                      <w:lang w:val="en-US"/>
                    </w:rPr>
                    <w:fldChar w:fldCharType="separate"/>
                  </w:r>
                  <w:r w:rsidR="00372F12">
                    <w:rPr>
                      <w:noProof/>
                      <w:webHidden/>
                      <w:lang w:val="en-US"/>
                    </w:rPr>
                    <w:t>51</w:t>
                  </w:r>
                  <w:r w:rsidRPr="002E4D67">
                    <w:rPr>
                      <w:noProof/>
                      <w:webHidden/>
                      <w:lang w:val="en-US"/>
                    </w:rPr>
                    <w:fldChar w:fldCharType="end"/>
                  </w:r>
                </w:hyperlink>
              </w:p>
              <w:p w14:paraId="260309C1" w14:textId="70370FC9"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00" w:history="1">
                  <w:r w:rsidRPr="002E4D67">
                    <w:rPr>
                      <w:rStyle w:val="Hyperlink"/>
                      <w:noProof/>
                      <w:lang w:val="en-US"/>
                    </w:rPr>
                    <w:t>F.16 Personal data flag</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_Toc213179200 \h </w:instrText>
                  </w:r>
                  <w:r w:rsidRPr="002E4D67">
                    <w:rPr>
                      <w:noProof/>
                      <w:webHidden/>
                      <w:lang w:val="en-US"/>
                    </w:rPr>
                  </w:r>
                  <w:r w:rsidRPr="002E4D67">
                    <w:rPr>
                      <w:noProof/>
                      <w:webHidden/>
                      <w:lang w:val="en-US"/>
                    </w:rPr>
                    <w:fldChar w:fldCharType="separate"/>
                  </w:r>
                  <w:r w:rsidR="00372F12">
                    <w:rPr>
                      <w:noProof/>
                      <w:webHidden/>
                      <w:lang w:val="en-US"/>
                    </w:rPr>
                    <w:t>51</w:t>
                  </w:r>
                  <w:r w:rsidRPr="002E4D67">
                    <w:rPr>
                      <w:noProof/>
                      <w:webHidden/>
                      <w:lang w:val="en-US"/>
                    </w:rPr>
                    <w:fldChar w:fldCharType="end"/>
                  </w:r>
                </w:hyperlink>
              </w:p>
              <w:p w14:paraId="5D99FC0A" w14:textId="4F20CF10"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01" w:history="1">
                  <w:r w:rsidRPr="002E4D67">
                    <w:rPr>
                      <w:rStyle w:val="Hyperlink"/>
                      <w:noProof/>
                      <w:lang w:val="en-US"/>
                    </w:rPr>
                    <w:t>F.17 LEI eligibility</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_Toc213179201 \h </w:instrText>
                  </w:r>
                  <w:r w:rsidRPr="002E4D67">
                    <w:rPr>
                      <w:noProof/>
                      <w:webHidden/>
                      <w:lang w:val="en-US"/>
                    </w:rPr>
                  </w:r>
                  <w:r w:rsidRPr="002E4D67">
                    <w:rPr>
                      <w:noProof/>
                      <w:webHidden/>
                      <w:lang w:val="en-US"/>
                    </w:rPr>
                    <w:fldChar w:fldCharType="separate"/>
                  </w:r>
                  <w:r w:rsidR="00372F12">
                    <w:rPr>
                      <w:noProof/>
                      <w:webHidden/>
                      <w:lang w:val="en-US"/>
                    </w:rPr>
                    <w:t>51</w:t>
                  </w:r>
                  <w:r w:rsidRPr="002E4D67">
                    <w:rPr>
                      <w:noProof/>
                      <w:webHidden/>
                      <w:lang w:val="en-US"/>
                    </w:rPr>
                    <w:fldChar w:fldCharType="end"/>
                  </w:r>
                </w:hyperlink>
              </w:p>
              <w:p w14:paraId="7766FE0C" w14:textId="7D0CA8EF"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02" w:history="1">
                  <w:r w:rsidRPr="002E4D67">
                    <w:rPr>
                      <w:rStyle w:val="Hyperlink"/>
                      <w:noProof/>
                      <w:lang w:val="en-US"/>
                    </w:rPr>
                    <w:t>F.18 Home member state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_Toc213179202 \h </w:instrText>
                  </w:r>
                  <w:r w:rsidRPr="002E4D67">
                    <w:rPr>
                      <w:noProof/>
                      <w:webHidden/>
                      <w:lang w:val="en-US"/>
                    </w:rPr>
                  </w:r>
                  <w:r w:rsidRPr="002E4D67">
                    <w:rPr>
                      <w:noProof/>
                      <w:webHidden/>
                      <w:lang w:val="en-US"/>
                    </w:rPr>
                    <w:fldChar w:fldCharType="separate"/>
                  </w:r>
                  <w:r w:rsidR="00372F12">
                    <w:rPr>
                      <w:noProof/>
                      <w:webHidden/>
                      <w:lang w:val="en-US"/>
                    </w:rPr>
                    <w:t>52</w:t>
                  </w:r>
                  <w:r w:rsidRPr="002E4D67">
                    <w:rPr>
                      <w:noProof/>
                      <w:webHidden/>
                      <w:lang w:val="en-US"/>
                    </w:rPr>
                    <w:fldChar w:fldCharType="end"/>
                  </w:r>
                </w:hyperlink>
              </w:p>
              <w:p w14:paraId="452CFA36" w14:textId="16B6F686"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03" w:history="1">
                  <w:r w:rsidRPr="002E4D67">
                    <w:rPr>
                      <w:rStyle w:val="Hyperlink"/>
                      <w:noProof/>
                      <w:lang w:val="en-US"/>
                    </w:rPr>
                    <w:t>F.19 Host Member States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_Toc213179203 \h </w:instrText>
                  </w:r>
                  <w:r w:rsidRPr="002E4D67">
                    <w:rPr>
                      <w:noProof/>
                      <w:webHidden/>
                      <w:lang w:val="en-US"/>
                    </w:rPr>
                  </w:r>
                  <w:r w:rsidRPr="002E4D67">
                    <w:rPr>
                      <w:noProof/>
                      <w:webHidden/>
                      <w:lang w:val="en-US"/>
                    </w:rPr>
                    <w:fldChar w:fldCharType="separate"/>
                  </w:r>
                  <w:r w:rsidR="00372F12">
                    <w:rPr>
                      <w:noProof/>
                      <w:webHidden/>
                      <w:lang w:val="en-US"/>
                    </w:rPr>
                    <w:t>52</w:t>
                  </w:r>
                  <w:r w:rsidRPr="002E4D67">
                    <w:rPr>
                      <w:noProof/>
                      <w:webHidden/>
                      <w:lang w:val="en-US"/>
                    </w:rPr>
                    <w:fldChar w:fldCharType="end"/>
                  </w:r>
                </w:hyperlink>
              </w:p>
              <w:p w14:paraId="6987BA2A" w14:textId="48BF6962"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04" w:history="1">
                  <w:r w:rsidRPr="002E4D67">
                    <w:rPr>
                      <w:rStyle w:val="Hyperlink"/>
                      <w:noProof/>
                      <w:lang w:val="en-US"/>
                    </w:rPr>
                    <w:t>Part G - Information on the rights and obligations attached to the crypto-assets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_Toc213179204 \h </w:instrText>
                  </w:r>
                  <w:r w:rsidRPr="002E4D67">
                    <w:rPr>
                      <w:noProof/>
                      <w:webHidden/>
                      <w:lang w:val="en-US"/>
                    </w:rPr>
                  </w:r>
                  <w:r w:rsidRPr="002E4D67">
                    <w:rPr>
                      <w:noProof/>
                      <w:webHidden/>
                      <w:lang w:val="en-US"/>
                    </w:rPr>
                    <w:fldChar w:fldCharType="separate"/>
                  </w:r>
                  <w:r w:rsidR="00372F12">
                    <w:rPr>
                      <w:noProof/>
                      <w:webHidden/>
                      <w:lang w:val="en-US"/>
                    </w:rPr>
                    <w:t>52</w:t>
                  </w:r>
                  <w:r w:rsidRPr="002E4D67">
                    <w:rPr>
                      <w:noProof/>
                      <w:webHidden/>
                      <w:lang w:val="en-US"/>
                    </w:rPr>
                    <w:fldChar w:fldCharType="end"/>
                  </w:r>
                </w:hyperlink>
              </w:p>
              <w:p w14:paraId="16FDC137" w14:textId="4E7FAB07"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05" w:history="1">
                  <w:r w:rsidRPr="002E4D67">
                    <w:rPr>
                      <w:rStyle w:val="Hyperlink"/>
                      <w:noProof/>
                      <w:lang w:val="en-US"/>
                    </w:rPr>
                    <w:t>G.1 Purchaser Rights and Obligations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_Toc213179205 \h </w:instrText>
                  </w:r>
                  <w:r w:rsidRPr="002E4D67">
                    <w:rPr>
                      <w:noProof/>
                      <w:webHidden/>
                      <w:lang w:val="en-US"/>
                    </w:rPr>
                  </w:r>
                  <w:r w:rsidRPr="002E4D67">
                    <w:rPr>
                      <w:noProof/>
                      <w:webHidden/>
                      <w:lang w:val="en-US"/>
                    </w:rPr>
                    <w:fldChar w:fldCharType="separate"/>
                  </w:r>
                  <w:r w:rsidR="00372F12">
                    <w:rPr>
                      <w:noProof/>
                      <w:webHidden/>
                      <w:lang w:val="en-US"/>
                    </w:rPr>
                    <w:t>52</w:t>
                  </w:r>
                  <w:r w:rsidRPr="002E4D67">
                    <w:rPr>
                      <w:noProof/>
                      <w:webHidden/>
                      <w:lang w:val="en-US"/>
                    </w:rPr>
                    <w:fldChar w:fldCharType="end"/>
                  </w:r>
                </w:hyperlink>
              </w:p>
              <w:p w14:paraId="1FEA1A4C" w14:textId="76F39BD7"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06" w:history="1">
                  <w:r w:rsidRPr="002E4D67">
                    <w:rPr>
                      <w:rStyle w:val="Hyperlink"/>
                      <w:noProof/>
                      <w:lang w:val="en-US"/>
                    </w:rPr>
                    <w:t>G.2 Exercise of Rights and Obligations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_Toc213179206 \h </w:instrText>
                  </w:r>
                  <w:r w:rsidRPr="002E4D67">
                    <w:rPr>
                      <w:noProof/>
                      <w:webHidden/>
                      <w:lang w:val="en-US"/>
                    </w:rPr>
                  </w:r>
                  <w:r w:rsidRPr="002E4D67">
                    <w:rPr>
                      <w:noProof/>
                      <w:webHidden/>
                      <w:lang w:val="en-US"/>
                    </w:rPr>
                    <w:fldChar w:fldCharType="separate"/>
                  </w:r>
                  <w:r w:rsidR="00372F12">
                    <w:rPr>
                      <w:noProof/>
                      <w:webHidden/>
                      <w:lang w:val="en-US"/>
                    </w:rPr>
                    <w:t>55</w:t>
                  </w:r>
                  <w:r w:rsidRPr="002E4D67">
                    <w:rPr>
                      <w:noProof/>
                      <w:webHidden/>
                      <w:lang w:val="en-US"/>
                    </w:rPr>
                    <w:fldChar w:fldCharType="end"/>
                  </w:r>
                </w:hyperlink>
              </w:p>
              <w:p w14:paraId="72FF9BBD" w14:textId="142DB796"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07" w:history="1">
                  <w:r w:rsidRPr="002E4D67">
                    <w:rPr>
                      <w:rStyle w:val="Hyperlink"/>
                      <w:noProof/>
                      <w:lang w:val="en-US"/>
                    </w:rPr>
                    <w:t>G.3 Conditions for modifications of rights and obligations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_Toc213179207 \h </w:instrText>
                  </w:r>
                  <w:r w:rsidRPr="002E4D67">
                    <w:rPr>
                      <w:noProof/>
                      <w:webHidden/>
                      <w:lang w:val="en-US"/>
                    </w:rPr>
                  </w:r>
                  <w:r w:rsidRPr="002E4D67">
                    <w:rPr>
                      <w:noProof/>
                      <w:webHidden/>
                      <w:lang w:val="en-US"/>
                    </w:rPr>
                    <w:fldChar w:fldCharType="separate"/>
                  </w:r>
                  <w:r w:rsidR="00372F12">
                    <w:rPr>
                      <w:noProof/>
                      <w:webHidden/>
                      <w:lang w:val="en-US"/>
                    </w:rPr>
                    <w:t>56</w:t>
                  </w:r>
                  <w:r w:rsidRPr="002E4D67">
                    <w:rPr>
                      <w:noProof/>
                      <w:webHidden/>
                      <w:lang w:val="en-US"/>
                    </w:rPr>
                    <w:fldChar w:fldCharType="end"/>
                  </w:r>
                </w:hyperlink>
              </w:p>
              <w:p w14:paraId="5306A276" w14:textId="5427DB6A"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08" w:history="1">
                  <w:r w:rsidRPr="002E4D67">
                    <w:rPr>
                      <w:rStyle w:val="Hyperlink"/>
                      <w:noProof/>
                      <w:lang w:val="en-US"/>
                    </w:rPr>
                    <w:t>G.4 Future public offers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_Toc213179208 \h </w:instrText>
                  </w:r>
                  <w:r w:rsidRPr="002E4D67">
                    <w:rPr>
                      <w:noProof/>
                      <w:webHidden/>
                      <w:lang w:val="en-US"/>
                    </w:rPr>
                  </w:r>
                  <w:r w:rsidRPr="002E4D67">
                    <w:rPr>
                      <w:noProof/>
                      <w:webHidden/>
                      <w:lang w:val="en-US"/>
                    </w:rPr>
                    <w:fldChar w:fldCharType="separate"/>
                  </w:r>
                  <w:r w:rsidR="00372F12">
                    <w:rPr>
                      <w:noProof/>
                      <w:webHidden/>
                      <w:lang w:val="en-US"/>
                    </w:rPr>
                    <w:t>56</w:t>
                  </w:r>
                  <w:r w:rsidRPr="002E4D67">
                    <w:rPr>
                      <w:noProof/>
                      <w:webHidden/>
                      <w:lang w:val="en-US"/>
                    </w:rPr>
                    <w:fldChar w:fldCharType="end"/>
                  </w:r>
                </w:hyperlink>
              </w:p>
              <w:p w14:paraId="40936BFF" w14:textId="202407B6"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09" w:history="1">
                  <w:r w:rsidRPr="002E4D67">
                    <w:rPr>
                      <w:rStyle w:val="Hyperlink"/>
                      <w:noProof/>
                      <w:lang w:val="en-US"/>
                    </w:rPr>
                    <w:t>G.5 Issuer retained crypto-assets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_Toc213179209 \h </w:instrText>
                  </w:r>
                  <w:r w:rsidRPr="002E4D67">
                    <w:rPr>
                      <w:noProof/>
                      <w:webHidden/>
                      <w:lang w:val="en-US"/>
                    </w:rPr>
                  </w:r>
                  <w:r w:rsidRPr="002E4D67">
                    <w:rPr>
                      <w:noProof/>
                      <w:webHidden/>
                      <w:lang w:val="en-US"/>
                    </w:rPr>
                    <w:fldChar w:fldCharType="separate"/>
                  </w:r>
                  <w:r w:rsidR="00372F12">
                    <w:rPr>
                      <w:noProof/>
                      <w:webHidden/>
                      <w:lang w:val="en-US"/>
                    </w:rPr>
                    <w:t>57</w:t>
                  </w:r>
                  <w:r w:rsidRPr="002E4D67">
                    <w:rPr>
                      <w:noProof/>
                      <w:webHidden/>
                      <w:lang w:val="en-US"/>
                    </w:rPr>
                    <w:fldChar w:fldCharType="end"/>
                  </w:r>
                </w:hyperlink>
              </w:p>
              <w:p w14:paraId="72A2FB63" w14:textId="76080D68"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10" w:history="1">
                  <w:r w:rsidRPr="002E4D67">
                    <w:rPr>
                      <w:rStyle w:val="Hyperlink"/>
                      <w:noProof/>
                      <w:lang w:val="en-US"/>
                    </w:rPr>
                    <w:t>G.6 Utility token classification</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_Toc213179210 \h </w:instrText>
                  </w:r>
                  <w:r w:rsidRPr="002E4D67">
                    <w:rPr>
                      <w:noProof/>
                      <w:webHidden/>
                      <w:lang w:val="en-US"/>
                    </w:rPr>
                  </w:r>
                  <w:r w:rsidRPr="002E4D67">
                    <w:rPr>
                      <w:noProof/>
                      <w:webHidden/>
                      <w:lang w:val="en-US"/>
                    </w:rPr>
                    <w:fldChar w:fldCharType="separate"/>
                  </w:r>
                  <w:r w:rsidR="00372F12">
                    <w:rPr>
                      <w:noProof/>
                      <w:webHidden/>
                      <w:lang w:val="en-US"/>
                    </w:rPr>
                    <w:t>57</w:t>
                  </w:r>
                  <w:r w:rsidRPr="002E4D67">
                    <w:rPr>
                      <w:noProof/>
                      <w:webHidden/>
                      <w:lang w:val="en-US"/>
                    </w:rPr>
                    <w:fldChar w:fldCharType="end"/>
                  </w:r>
                </w:hyperlink>
              </w:p>
              <w:p w14:paraId="7192F86D" w14:textId="004551D6"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11" w:history="1">
                  <w:r w:rsidRPr="002E4D67">
                    <w:rPr>
                      <w:rStyle w:val="Hyperlink"/>
                      <w:noProof/>
                      <w:lang w:val="en-US"/>
                    </w:rPr>
                    <w:t>G.7 Key features of goods/services of utility tokens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_Toc213179211 \h </w:instrText>
                  </w:r>
                  <w:r w:rsidRPr="002E4D67">
                    <w:rPr>
                      <w:noProof/>
                      <w:webHidden/>
                      <w:lang w:val="en-US"/>
                    </w:rPr>
                  </w:r>
                  <w:r w:rsidRPr="002E4D67">
                    <w:rPr>
                      <w:noProof/>
                      <w:webHidden/>
                      <w:lang w:val="en-US"/>
                    </w:rPr>
                    <w:fldChar w:fldCharType="separate"/>
                  </w:r>
                  <w:r w:rsidR="00372F12">
                    <w:rPr>
                      <w:noProof/>
                      <w:webHidden/>
                      <w:lang w:val="en-US"/>
                    </w:rPr>
                    <w:t>57</w:t>
                  </w:r>
                  <w:r w:rsidRPr="002E4D67">
                    <w:rPr>
                      <w:noProof/>
                      <w:webHidden/>
                      <w:lang w:val="en-US"/>
                    </w:rPr>
                    <w:fldChar w:fldCharType="end"/>
                  </w:r>
                </w:hyperlink>
              </w:p>
              <w:p w14:paraId="2E516A5B" w14:textId="72DBB3FD"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12" w:history="1">
                  <w:r w:rsidRPr="002E4D67">
                    <w:rPr>
                      <w:rStyle w:val="Hyperlink"/>
                      <w:noProof/>
                      <w:lang w:val="en-US"/>
                    </w:rPr>
                    <w:t>G.8 Utility tokens redemption</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_Toc213179212 \h </w:instrText>
                  </w:r>
                  <w:r w:rsidRPr="002E4D67">
                    <w:rPr>
                      <w:noProof/>
                      <w:webHidden/>
                      <w:lang w:val="en-US"/>
                    </w:rPr>
                  </w:r>
                  <w:r w:rsidRPr="002E4D67">
                    <w:rPr>
                      <w:noProof/>
                      <w:webHidden/>
                      <w:lang w:val="en-US"/>
                    </w:rPr>
                    <w:fldChar w:fldCharType="separate"/>
                  </w:r>
                  <w:r w:rsidR="00372F12">
                    <w:rPr>
                      <w:noProof/>
                      <w:webHidden/>
                      <w:lang w:val="en-US"/>
                    </w:rPr>
                    <w:t>59</w:t>
                  </w:r>
                  <w:r w:rsidRPr="002E4D67">
                    <w:rPr>
                      <w:noProof/>
                      <w:webHidden/>
                      <w:lang w:val="en-US"/>
                    </w:rPr>
                    <w:fldChar w:fldCharType="end"/>
                  </w:r>
                </w:hyperlink>
              </w:p>
              <w:p w14:paraId="0469E92C" w14:textId="765520EC"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13" w:history="1">
                  <w:r w:rsidRPr="002E4D67">
                    <w:rPr>
                      <w:rStyle w:val="Hyperlink"/>
                      <w:noProof/>
                      <w:lang w:val="en-US"/>
                    </w:rPr>
                    <w:t>G.9 Non-trading request</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_Toc213179213 \h </w:instrText>
                  </w:r>
                  <w:r w:rsidRPr="002E4D67">
                    <w:rPr>
                      <w:noProof/>
                      <w:webHidden/>
                      <w:lang w:val="en-US"/>
                    </w:rPr>
                  </w:r>
                  <w:r w:rsidRPr="002E4D67">
                    <w:rPr>
                      <w:noProof/>
                      <w:webHidden/>
                      <w:lang w:val="en-US"/>
                    </w:rPr>
                    <w:fldChar w:fldCharType="separate"/>
                  </w:r>
                  <w:r w:rsidR="00372F12">
                    <w:rPr>
                      <w:noProof/>
                      <w:webHidden/>
                      <w:lang w:val="en-US"/>
                    </w:rPr>
                    <w:t>61</w:t>
                  </w:r>
                  <w:r w:rsidRPr="002E4D67">
                    <w:rPr>
                      <w:noProof/>
                      <w:webHidden/>
                      <w:lang w:val="en-US"/>
                    </w:rPr>
                    <w:fldChar w:fldCharType="end"/>
                  </w:r>
                </w:hyperlink>
              </w:p>
              <w:p w14:paraId="6E22F4BB" w14:textId="49A801B6"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14" w:history="1">
                  <w:r w:rsidRPr="002E4D67">
                    <w:rPr>
                      <w:rStyle w:val="Hyperlink"/>
                      <w:noProof/>
                      <w:lang w:val="en-US"/>
                    </w:rPr>
                    <w:t>G.10 Crypto-assets purchase or sale modalities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_Toc213179214 \h </w:instrText>
                  </w:r>
                  <w:r w:rsidRPr="002E4D67">
                    <w:rPr>
                      <w:noProof/>
                      <w:webHidden/>
                      <w:lang w:val="en-US"/>
                    </w:rPr>
                  </w:r>
                  <w:r w:rsidRPr="002E4D67">
                    <w:rPr>
                      <w:noProof/>
                      <w:webHidden/>
                      <w:lang w:val="en-US"/>
                    </w:rPr>
                    <w:fldChar w:fldCharType="separate"/>
                  </w:r>
                  <w:r w:rsidR="00372F12">
                    <w:rPr>
                      <w:noProof/>
                      <w:webHidden/>
                      <w:lang w:val="en-US"/>
                    </w:rPr>
                    <w:t>61</w:t>
                  </w:r>
                  <w:r w:rsidRPr="002E4D67">
                    <w:rPr>
                      <w:noProof/>
                      <w:webHidden/>
                      <w:lang w:val="en-US"/>
                    </w:rPr>
                    <w:fldChar w:fldCharType="end"/>
                  </w:r>
                </w:hyperlink>
              </w:p>
              <w:p w14:paraId="4E13892B" w14:textId="0B99E272"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15" w:history="1">
                  <w:r w:rsidRPr="002E4D67">
                    <w:rPr>
                      <w:rStyle w:val="Hyperlink"/>
                      <w:noProof/>
                      <w:lang w:val="en-US"/>
                    </w:rPr>
                    <w:t>G.11 Crypto-assets transfer restrictions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_Toc213179215 \h </w:instrText>
                  </w:r>
                  <w:r w:rsidRPr="002E4D67">
                    <w:rPr>
                      <w:noProof/>
                      <w:webHidden/>
                      <w:lang w:val="en-US"/>
                    </w:rPr>
                  </w:r>
                  <w:r w:rsidRPr="002E4D67">
                    <w:rPr>
                      <w:noProof/>
                      <w:webHidden/>
                      <w:lang w:val="en-US"/>
                    </w:rPr>
                    <w:fldChar w:fldCharType="separate"/>
                  </w:r>
                  <w:r w:rsidR="00372F12">
                    <w:rPr>
                      <w:noProof/>
                      <w:webHidden/>
                      <w:lang w:val="en-US"/>
                    </w:rPr>
                    <w:t>61</w:t>
                  </w:r>
                  <w:r w:rsidRPr="002E4D67">
                    <w:rPr>
                      <w:noProof/>
                      <w:webHidden/>
                      <w:lang w:val="en-US"/>
                    </w:rPr>
                    <w:fldChar w:fldCharType="end"/>
                  </w:r>
                </w:hyperlink>
              </w:p>
              <w:p w14:paraId="5E820B5D" w14:textId="357440FA"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16" w:history="1">
                  <w:r w:rsidRPr="002E4D67">
                    <w:rPr>
                      <w:rStyle w:val="Hyperlink"/>
                      <w:noProof/>
                      <w:lang w:val="en-US"/>
                    </w:rPr>
                    <w:t>G.12 Supply adjustment protocols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_Toc213179216 \h </w:instrText>
                  </w:r>
                  <w:r w:rsidRPr="002E4D67">
                    <w:rPr>
                      <w:noProof/>
                      <w:webHidden/>
                      <w:lang w:val="en-US"/>
                    </w:rPr>
                  </w:r>
                  <w:r w:rsidRPr="002E4D67">
                    <w:rPr>
                      <w:noProof/>
                      <w:webHidden/>
                      <w:lang w:val="en-US"/>
                    </w:rPr>
                    <w:fldChar w:fldCharType="separate"/>
                  </w:r>
                  <w:r w:rsidR="00372F12">
                    <w:rPr>
                      <w:noProof/>
                      <w:webHidden/>
                      <w:lang w:val="en-US"/>
                    </w:rPr>
                    <w:t>61</w:t>
                  </w:r>
                  <w:r w:rsidRPr="002E4D67">
                    <w:rPr>
                      <w:noProof/>
                      <w:webHidden/>
                      <w:lang w:val="en-US"/>
                    </w:rPr>
                    <w:fldChar w:fldCharType="end"/>
                  </w:r>
                </w:hyperlink>
              </w:p>
              <w:p w14:paraId="3DFAD955" w14:textId="7E0A69A0"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17" w:history="1">
                  <w:r w:rsidRPr="002E4D67">
                    <w:rPr>
                      <w:rStyle w:val="Hyperlink"/>
                      <w:noProof/>
                      <w:lang w:val="en-US"/>
                    </w:rPr>
                    <w:t>G.13 Supply adjustment mechanisms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_Toc213179217 \h </w:instrText>
                  </w:r>
                  <w:r w:rsidRPr="002E4D67">
                    <w:rPr>
                      <w:noProof/>
                      <w:webHidden/>
                      <w:lang w:val="en-US"/>
                    </w:rPr>
                  </w:r>
                  <w:r w:rsidRPr="002E4D67">
                    <w:rPr>
                      <w:noProof/>
                      <w:webHidden/>
                      <w:lang w:val="en-US"/>
                    </w:rPr>
                    <w:fldChar w:fldCharType="separate"/>
                  </w:r>
                  <w:r w:rsidR="00372F12">
                    <w:rPr>
                      <w:noProof/>
                      <w:webHidden/>
                      <w:lang w:val="en-US"/>
                    </w:rPr>
                    <w:t>61</w:t>
                  </w:r>
                  <w:r w:rsidRPr="002E4D67">
                    <w:rPr>
                      <w:noProof/>
                      <w:webHidden/>
                      <w:lang w:val="en-US"/>
                    </w:rPr>
                    <w:fldChar w:fldCharType="end"/>
                  </w:r>
                </w:hyperlink>
              </w:p>
              <w:p w14:paraId="5B7076F5" w14:textId="71BA46A9"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18" w:history="1">
                  <w:r w:rsidRPr="002E4D67">
                    <w:rPr>
                      <w:rStyle w:val="Hyperlink"/>
                      <w:noProof/>
                      <w:lang w:val="en-US"/>
                    </w:rPr>
                    <w:t>G.14 Token value protection schemes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_Toc213179218 \h </w:instrText>
                  </w:r>
                  <w:r w:rsidRPr="002E4D67">
                    <w:rPr>
                      <w:noProof/>
                      <w:webHidden/>
                      <w:lang w:val="en-US"/>
                    </w:rPr>
                  </w:r>
                  <w:r w:rsidRPr="002E4D67">
                    <w:rPr>
                      <w:noProof/>
                      <w:webHidden/>
                      <w:lang w:val="en-US"/>
                    </w:rPr>
                    <w:fldChar w:fldCharType="separate"/>
                  </w:r>
                  <w:r w:rsidR="00372F12">
                    <w:rPr>
                      <w:noProof/>
                      <w:webHidden/>
                      <w:lang w:val="en-US"/>
                    </w:rPr>
                    <w:t>61</w:t>
                  </w:r>
                  <w:r w:rsidRPr="002E4D67">
                    <w:rPr>
                      <w:noProof/>
                      <w:webHidden/>
                      <w:lang w:val="en-US"/>
                    </w:rPr>
                    <w:fldChar w:fldCharType="end"/>
                  </w:r>
                </w:hyperlink>
              </w:p>
              <w:p w14:paraId="0490701F" w14:textId="2EE44F49"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19" w:history="1">
                  <w:r w:rsidRPr="002E4D67">
                    <w:rPr>
                      <w:rStyle w:val="Hyperlink"/>
                      <w:noProof/>
                      <w:lang w:val="en-US"/>
                    </w:rPr>
                    <w:t>G.15 Token value protection scheme description</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_Toc213179219 \h </w:instrText>
                  </w:r>
                  <w:r w:rsidRPr="002E4D67">
                    <w:rPr>
                      <w:noProof/>
                      <w:webHidden/>
                      <w:lang w:val="en-US"/>
                    </w:rPr>
                  </w:r>
                  <w:r w:rsidRPr="002E4D67">
                    <w:rPr>
                      <w:noProof/>
                      <w:webHidden/>
                      <w:lang w:val="en-US"/>
                    </w:rPr>
                    <w:fldChar w:fldCharType="separate"/>
                  </w:r>
                  <w:r w:rsidR="00372F12">
                    <w:rPr>
                      <w:noProof/>
                      <w:webHidden/>
                      <w:lang w:val="en-US"/>
                    </w:rPr>
                    <w:t>61</w:t>
                  </w:r>
                  <w:r w:rsidRPr="002E4D67">
                    <w:rPr>
                      <w:noProof/>
                      <w:webHidden/>
                      <w:lang w:val="en-US"/>
                    </w:rPr>
                    <w:fldChar w:fldCharType="end"/>
                  </w:r>
                </w:hyperlink>
              </w:p>
              <w:p w14:paraId="342A03F1" w14:textId="48678597"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20" w:history="1">
                  <w:r w:rsidRPr="002E4D67">
                    <w:rPr>
                      <w:rStyle w:val="Hyperlink"/>
                      <w:noProof/>
                      <w:lang w:val="en-US"/>
                    </w:rPr>
                    <w:t>G.16 Compensation schemes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_Toc213179220 \h </w:instrText>
                  </w:r>
                  <w:r w:rsidRPr="002E4D67">
                    <w:rPr>
                      <w:noProof/>
                      <w:webHidden/>
                      <w:lang w:val="en-US"/>
                    </w:rPr>
                  </w:r>
                  <w:r w:rsidRPr="002E4D67">
                    <w:rPr>
                      <w:noProof/>
                      <w:webHidden/>
                      <w:lang w:val="en-US"/>
                    </w:rPr>
                    <w:fldChar w:fldCharType="separate"/>
                  </w:r>
                  <w:r w:rsidR="00372F12">
                    <w:rPr>
                      <w:noProof/>
                      <w:webHidden/>
                      <w:lang w:val="en-US"/>
                    </w:rPr>
                    <w:t>62</w:t>
                  </w:r>
                  <w:r w:rsidRPr="002E4D67">
                    <w:rPr>
                      <w:noProof/>
                      <w:webHidden/>
                      <w:lang w:val="en-US"/>
                    </w:rPr>
                    <w:fldChar w:fldCharType="end"/>
                  </w:r>
                </w:hyperlink>
              </w:p>
              <w:p w14:paraId="4AE6149C" w14:textId="3B8869E2"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21" w:history="1">
                  <w:r w:rsidRPr="002E4D67">
                    <w:rPr>
                      <w:rStyle w:val="Hyperlink"/>
                      <w:noProof/>
                      <w:lang w:val="en-US"/>
                    </w:rPr>
                    <w:t>G.17 Compensation scheme description</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_Toc213179221 \h </w:instrText>
                  </w:r>
                  <w:r w:rsidRPr="002E4D67">
                    <w:rPr>
                      <w:noProof/>
                      <w:webHidden/>
                      <w:lang w:val="en-US"/>
                    </w:rPr>
                  </w:r>
                  <w:r w:rsidRPr="002E4D67">
                    <w:rPr>
                      <w:noProof/>
                      <w:webHidden/>
                      <w:lang w:val="en-US"/>
                    </w:rPr>
                    <w:fldChar w:fldCharType="separate"/>
                  </w:r>
                  <w:r w:rsidR="00372F12">
                    <w:rPr>
                      <w:noProof/>
                      <w:webHidden/>
                      <w:lang w:val="en-US"/>
                    </w:rPr>
                    <w:t>62</w:t>
                  </w:r>
                  <w:r w:rsidRPr="002E4D67">
                    <w:rPr>
                      <w:noProof/>
                      <w:webHidden/>
                      <w:lang w:val="en-US"/>
                    </w:rPr>
                    <w:fldChar w:fldCharType="end"/>
                  </w:r>
                </w:hyperlink>
              </w:p>
              <w:p w14:paraId="77B17943" w14:textId="318BE269"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22" w:history="1">
                  <w:r w:rsidRPr="002E4D67">
                    <w:rPr>
                      <w:rStyle w:val="Hyperlink"/>
                      <w:noProof/>
                      <w:lang w:val="en-US"/>
                    </w:rPr>
                    <w:t>G.18 Applicable law</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_Toc213179222 \h </w:instrText>
                  </w:r>
                  <w:r w:rsidRPr="002E4D67">
                    <w:rPr>
                      <w:noProof/>
                      <w:webHidden/>
                      <w:lang w:val="en-US"/>
                    </w:rPr>
                  </w:r>
                  <w:r w:rsidRPr="002E4D67">
                    <w:rPr>
                      <w:noProof/>
                      <w:webHidden/>
                      <w:lang w:val="en-US"/>
                    </w:rPr>
                    <w:fldChar w:fldCharType="separate"/>
                  </w:r>
                  <w:r w:rsidR="00372F12">
                    <w:rPr>
                      <w:noProof/>
                      <w:webHidden/>
                      <w:lang w:val="en-US"/>
                    </w:rPr>
                    <w:t>62</w:t>
                  </w:r>
                  <w:r w:rsidRPr="002E4D67">
                    <w:rPr>
                      <w:noProof/>
                      <w:webHidden/>
                      <w:lang w:val="en-US"/>
                    </w:rPr>
                    <w:fldChar w:fldCharType="end"/>
                  </w:r>
                </w:hyperlink>
              </w:p>
              <w:p w14:paraId="6E860250" w14:textId="7ABAC6BD"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23" w:history="1">
                  <w:r w:rsidRPr="002E4D67">
                    <w:rPr>
                      <w:rStyle w:val="Hyperlink"/>
                      <w:noProof/>
                      <w:lang w:val="en-US"/>
                    </w:rPr>
                    <w:t>G.19 Competent court</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_Toc213179223 \h </w:instrText>
                  </w:r>
                  <w:r w:rsidRPr="002E4D67">
                    <w:rPr>
                      <w:noProof/>
                      <w:webHidden/>
                      <w:lang w:val="en-US"/>
                    </w:rPr>
                  </w:r>
                  <w:r w:rsidRPr="002E4D67">
                    <w:rPr>
                      <w:noProof/>
                      <w:webHidden/>
                      <w:lang w:val="en-US"/>
                    </w:rPr>
                    <w:fldChar w:fldCharType="separate"/>
                  </w:r>
                  <w:r w:rsidR="00372F12">
                    <w:rPr>
                      <w:noProof/>
                      <w:webHidden/>
                      <w:lang w:val="en-US"/>
                    </w:rPr>
                    <w:t>62</w:t>
                  </w:r>
                  <w:r w:rsidRPr="002E4D67">
                    <w:rPr>
                      <w:noProof/>
                      <w:webHidden/>
                      <w:lang w:val="en-US"/>
                    </w:rPr>
                    <w:fldChar w:fldCharType="end"/>
                  </w:r>
                </w:hyperlink>
              </w:p>
              <w:p w14:paraId="2613A463" w14:textId="12649BBF"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24" w:history="1">
                  <w:r w:rsidRPr="002E4D67">
                    <w:rPr>
                      <w:rStyle w:val="Hyperlink"/>
                      <w:noProof/>
                      <w:lang w:val="en-US"/>
                    </w:rPr>
                    <w:t>Part H — Information on the underlying technology</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_Toc213179224 \h </w:instrText>
                  </w:r>
                  <w:r w:rsidRPr="002E4D67">
                    <w:rPr>
                      <w:noProof/>
                      <w:webHidden/>
                      <w:lang w:val="en-US"/>
                    </w:rPr>
                  </w:r>
                  <w:r w:rsidRPr="002E4D67">
                    <w:rPr>
                      <w:noProof/>
                      <w:webHidden/>
                      <w:lang w:val="en-US"/>
                    </w:rPr>
                    <w:fldChar w:fldCharType="separate"/>
                  </w:r>
                  <w:r w:rsidR="00372F12">
                    <w:rPr>
                      <w:noProof/>
                      <w:webHidden/>
                      <w:lang w:val="en-US"/>
                    </w:rPr>
                    <w:t>62</w:t>
                  </w:r>
                  <w:r w:rsidRPr="002E4D67">
                    <w:rPr>
                      <w:noProof/>
                      <w:webHidden/>
                      <w:lang w:val="en-US"/>
                    </w:rPr>
                    <w:fldChar w:fldCharType="end"/>
                  </w:r>
                </w:hyperlink>
              </w:p>
              <w:p w14:paraId="5A961E0A" w14:textId="7A89AD45"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25" w:history="1">
                  <w:r w:rsidRPr="002E4D67">
                    <w:rPr>
                      <w:rStyle w:val="Hyperlink"/>
                      <w:noProof/>
                      <w:lang w:val="en-US"/>
                    </w:rPr>
                    <w:t>H.1 Distributed ledger technology (DLT)</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_Toc213179225 \h </w:instrText>
                  </w:r>
                  <w:r w:rsidRPr="002E4D67">
                    <w:rPr>
                      <w:noProof/>
                      <w:webHidden/>
                      <w:lang w:val="en-US"/>
                    </w:rPr>
                  </w:r>
                  <w:r w:rsidRPr="002E4D67">
                    <w:rPr>
                      <w:noProof/>
                      <w:webHidden/>
                      <w:lang w:val="en-US"/>
                    </w:rPr>
                    <w:fldChar w:fldCharType="separate"/>
                  </w:r>
                  <w:r w:rsidR="00372F12">
                    <w:rPr>
                      <w:noProof/>
                      <w:webHidden/>
                      <w:lang w:val="en-US"/>
                    </w:rPr>
                    <w:t>62</w:t>
                  </w:r>
                  <w:r w:rsidRPr="002E4D67">
                    <w:rPr>
                      <w:noProof/>
                      <w:webHidden/>
                      <w:lang w:val="en-US"/>
                    </w:rPr>
                    <w:fldChar w:fldCharType="end"/>
                  </w:r>
                </w:hyperlink>
              </w:p>
              <w:p w14:paraId="4C0B48B0" w14:textId="5567CE98"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26" w:history="1">
                  <w:r w:rsidRPr="002E4D67">
                    <w:rPr>
                      <w:rStyle w:val="Hyperlink"/>
                      <w:noProof/>
                      <w:lang w:val="en-US"/>
                    </w:rPr>
                    <w:t>H.2 Protocols and technical standards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_Toc213179226 \h </w:instrText>
                  </w:r>
                  <w:r w:rsidRPr="002E4D67">
                    <w:rPr>
                      <w:noProof/>
                      <w:webHidden/>
                      <w:lang w:val="en-US"/>
                    </w:rPr>
                  </w:r>
                  <w:r w:rsidRPr="002E4D67">
                    <w:rPr>
                      <w:noProof/>
                      <w:webHidden/>
                      <w:lang w:val="en-US"/>
                    </w:rPr>
                    <w:fldChar w:fldCharType="separate"/>
                  </w:r>
                  <w:r w:rsidR="00372F12">
                    <w:rPr>
                      <w:noProof/>
                      <w:webHidden/>
                      <w:lang w:val="en-US"/>
                    </w:rPr>
                    <w:t>62</w:t>
                  </w:r>
                  <w:r w:rsidRPr="002E4D67">
                    <w:rPr>
                      <w:noProof/>
                      <w:webHidden/>
                      <w:lang w:val="en-US"/>
                    </w:rPr>
                    <w:fldChar w:fldCharType="end"/>
                  </w:r>
                </w:hyperlink>
              </w:p>
              <w:p w14:paraId="67F066B8" w14:textId="254F22AF"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27" w:history="1">
                  <w:r w:rsidRPr="002E4D67">
                    <w:rPr>
                      <w:rStyle w:val="Hyperlink"/>
                      <w:noProof/>
                      <w:lang w:val="en-US"/>
                    </w:rPr>
                    <w:t>H.3 Technology used</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_Toc213179227 \h </w:instrText>
                  </w:r>
                  <w:r w:rsidRPr="002E4D67">
                    <w:rPr>
                      <w:noProof/>
                      <w:webHidden/>
                      <w:lang w:val="en-US"/>
                    </w:rPr>
                  </w:r>
                  <w:r w:rsidRPr="002E4D67">
                    <w:rPr>
                      <w:noProof/>
                      <w:webHidden/>
                      <w:lang w:val="en-US"/>
                    </w:rPr>
                    <w:fldChar w:fldCharType="separate"/>
                  </w:r>
                  <w:r w:rsidR="00372F12">
                    <w:rPr>
                      <w:noProof/>
                      <w:webHidden/>
                      <w:lang w:val="en-US"/>
                    </w:rPr>
                    <w:t>62</w:t>
                  </w:r>
                  <w:r w:rsidRPr="002E4D67">
                    <w:rPr>
                      <w:noProof/>
                      <w:webHidden/>
                      <w:lang w:val="en-US"/>
                    </w:rPr>
                    <w:fldChar w:fldCharType="end"/>
                  </w:r>
                </w:hyperlink>
              </w:p>
              <w:p w14:paraId="0CA1986F" w14:textId="557425B2"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28" w:history="1">
                  <w:r w:rsidRPr="002E4D67">
                    <w:rPr>
                      <w:rStyle w:val="Hyperlink"/>
                      <w:noProof/>
                      <w:lang w:val="en-US"/>
                    </w:rPr>
                    <w:t>H.4 Consensus mechanism</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_Toc213179228 \h </w:instrText>
                  </w:r>
                  <w:r w:rsidRPr="002E4D67">
                    <w:rPr>
                      <w:noProof/>
                      <w:webHidden/>
                      <w:lang w:val="en-US"/>
                    </w:rPr>
                  </w:r>
                  <w:r w:rsidRPr="002E4D67">
                    <w:rPr>
                      <w:noProof/>
                      <w:webHidden/>
                      <w:lang w:val="en-US"/>
                    </w:rPr>
                    <w:fldChar w:fldCharType="separate"/>
                  </w:r>
                  <w:r w:rsidR="00372F12">
                    <w:rPr>
                      <w:noProof/>
                      <w:webHidden/>
                      <w:lang w:val="en-US"/>
                    </w:rPr>
                    <w:t>63</w:t>
                  </w:r>
                  <w:r w:rsidRPr="002E4D67">
                    <w:rPr>
                      <w:noProof/>
                      <w:webHidden/>
                      <w:lang w:val="en-US"/>
                    </w:rPr>
                    <w:fldChar w:fldCharType="end"/>
                  </w:r>
                </w:hyperlink>
              </w:p>
              <w:p w14:paraId="2E6189E8" w14:textId="487D4610"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29" w:history="1">
                  <w:r w:rsidRPr="002E4D67">
                    <w:rPr>
                      <w:rStyle w:val="Hyperlink"/>
                      <w:noProof/>
                      <w:lang w:val="en-US"/>
                    </w:rPr>
                    <w:t>H.5 Incentive mechanisms and applicable fees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_Toc213179229 \h </w:instrText>
                  </w:r>
                  <w:r w:rsidRPr="002E4D67">
                    <w:rPr>
                      <w:noProof/>
                      <w:webHidden/>
                      <w:lang w:val="en-US"/>
                    </w:rPr>
                  </w:r>
                  <w:r w:rsidRPr="002E4D67">
                    <w:rPr>
                      <w:noProof/>
                      <w:webHidden/>
                      <w:lang w:val="en-US"/>
                    </w:rPr>
                    <w:fldChar w:fldCharType="separate"/>
                  </w:r>
                  <w:r w:rsidR="00372F12">
                    <w:rPr>
                      <w:noProof/>
                      <w:webHidden/>
                      <w:lang w:val="en-US"/>
                    </w:rPr>
                    <w:t>63</w:t>
                  </w:r>
                  <w:r w:rsidRPr="002E4D67">
                    <w:rPr>
                      <w:noProof/>
                      <w:webHidden/>
                      <w:lang w:val="en-US"/>
                    </w:rPr>
                    <w:fldChar w:fldCharType="end"/>
                  </w:r>
                </w:hyperlink>
              </w:p>
              <w:p w14:paraId="6EF449DE" w14:textId="52A0E206"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30" w:history="1">
                  <w:r w:rsidRPr="002E4D67">
                    <w:rPr>
                      <w:rStyle w:val="Hyperlink"/>
                      <w:noProof/>
                      <w:lang w:val="en-US"/>
                    </w:rPr>
                    <w:t>H.6 Use of Distributed Ledger Technology</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_Toc213179230 \h </w:instrText>
                  </w:r>
                  <w:r w:rsidRPr="002E4D67">
                    <w:rPr>
                      <w:noProof/>
                      <w:webHidden/>
                      <w:lang w:val="en-US"/>
                    </w:rPr>
                  </w:r>
                  <w:r w:rsidRPr="002E4D67">
                    <w:rPr>
                      <w:noProof/>
                      <w:webHidden/>
                      <w:lang w:val="en-US"/>
                    </w:rPr>
                    <w:fldChar w:fldCharType="separate"/>
                  </w:r>
                  <w:r w:rsidR="00372F12">
                    <w:rPr>
                      <w:noProof/>
                      <w:webHidden/>
                      <w:lang w:val="en-US"/>
                    </w:rPr>
                    <w:t>63</w:t>
                  </w:r>
                  <w:r w:rsidRPr="002E4D67">
                    <w:rPr>
                      <w:noProof/>
                      <w:webHidden/>
                      <w:lang w:val="en-US"/>
                    </w:rPr>
                    <w:fldChar w:fldCharType="end"/>
                  </w:r>
                </w:hyperlink>
              </w:p>
              <w:p w14:paraId="2CC2B985" w14:textId="3DD4ADB5"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31" w:history="1">
                  <w:r w:rsidRPr="002E4D67">
                    <w:rPr>
                      <w:rStyle w:val="Hyperlink"/>
                      <w:noProof/>
                      <w:lang w:val="en-US"/>
                    </w:rPr>
                    <w:t>H.7 DLT Functionality Description</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_Toc213179231 \h </w:instrText>
                  </w:r>
                  <w:r w:rsidRPr="002E4D67">
                    <w:rPr>
                      <w:noProof/>
                      <w:webHidden/>
                      <w:lang w:val="en-US"/>
                    </w:rPr>
                  </w:r>
                  <w:r w:rsidRPr="002E4D67">
                    <w:rPr>
                      <w:noProof/>
                      <w:webHidden/>
                      <w:lang w:val="en-US"/>
                    </w:rPr>
                    <w:fldChar w:fldCharType="separate"/>
                  </w:r>
                  <w:r w:rsidR="00372F12">
                    <w:rPr>
                      <w:noProof/>
                      <w:webHidden/>
                      <w:lang w:val="en-US"/>
                    </w:rPr>
                    <w:t>63</w:t>
                  </w:r>
                  <w:r w:rsidRPr="002E4D67">
                    <w:rPr>
                      <w:noProof/>
                      <w:webHidden/>
                      <w:lang w:val="en-US"/>
                    </w:rPr>
                    <w:fldChar w:fldCharType="end"/>
                  </w:r>
                </w:hyperlink>
              </w:p>
              <w:p w14:paraId="4553DE23" w14:textId="074EB126"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32" w:history="1">
                  <w:r w:rsidRPr="002E4D67">
                    <w:rPr>
                      <w:rStyle w:val="Hyperlink"/>
                      <w:noProof/>
                      <w:lang w:val="en-US"/>
                    </w:rPr>
                    <w:t>H.8 Audit</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_Toc213179232 \h </w:instrText>
                  </w:r>
                  <w:r w:rsidRPr="002E4D67">
                    <w:rPr>
                      <w:noProof/>
                      <w:webHidden/>
                      <w:lang w:val="en-US"/>
                    </w:rPr>
                  </w:r>
                  <w:r w:rsidRPr="002E4D67">
                    <w:rPr>
                      <w:noProof/>
                      <w:webHidden/>
                      <w:lang w:val="en-US"/>
                    </w:rPr>
                    <w:fldChar w:fldCharType="separate"/>
                  </w:r>
                  <w:r w:rsidR="00372F12">
                    <w:rPr>
                      <w:noProof/>
                      <w:webHidden/>
                      <w:lang w:val="en-US"/>
                    </w:rPr>
                    <w:t>63</w:t>
                  </w:r>
                  <w:r w:rsidRPr="002E4D67">
                    <w:rPr>
                      <w:noProof/>
                      <w:webHidden/>
                      <w:lang w:val="en-US"/>
                    </w:rPr>
                    <w:fldChar w:fldCharType="end"/>
                  </w:r>
                </w:hyperlink>
              </w:p>
              <w:p w14:paraId="3D7DAEBF" w14:textId="0E5D1B4D"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33" w:history="1">
                  <w:r w:rsidRPr="002E4D67">
                    <w:rPr>
                      <w:rStyle w:val="Hyperlink"/>
                      <w:noProof/>
                      <w:lang w:val="en-US"/>
                    </w:rPr>
                    <w:t>H.9 Audit outcome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_Toc213179233 \h </w:instrText>
                  </w:r>
                  <w:r w:rsidRPr="002E4D67">
                    <w:rPr>
                      <w:noProof/>
                      <w:webHidden/>
                      <w:lang w:val="en-US"/>
                    </w:rPr>
                  </w:r>
                  <w:r w:rsidRPr="002E4D67">
                    <w:rPr>
                      <w:noProof/>
                      <w:webHidden/>
                      <w:lang w:val="en-US"/>
                    </w:rPr>
                    <w:fldChar w:fldCharType="separate"/>
                  </w:r>
                  <w:r w:rsidR="00372F12">
                    <w:rPr>
                      <w:noProof/>
                      <w:webHidden/>
                      <w:lang w:val="en-US"/>
                    </w:rPr>
                    <w:t>63</w:t>
                  </w:r>
                  <w:r w:rsidRPr="002E4D67">
                    <w:rPr>
                      <w:noProof/>
                      <w:webHidden/>
                      <w:lang w:val="en-US"/>
                    </w:rPr>
                    <w:fldChar w:fldCharType="end"/>
                  </w:r>
                </w:hyperlink>
              </w:p>
              <w:p w14:paraId="19A59A8C" w14:textId="33FAF559"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34" w:history="1">
                  <w:r w:rsidRPr="002E4D67">
                    <w:rPr>
                      <w:rStyle w:val="Hyperlink"/>
                      <w:noProof/>
                      <w:lang w:val="en-US"/>
                    </w:rPr>
                    <w:t>Part I — Information on risks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_Toc213179234 \h </w:instrText>
                  </w:r>
                  <w:r w:rsidRPr="002E4D67">
                    <w:rPr>
                      <w:noProof/>
                      <w:webHidden/>
                      <w:lang w:val="en-US"/>
                    </w:rPr>
                  </w:r>
                  <w:r w:rsidRPr="002E4D67">
                    <w:rPr>
                      <w:noProof/>
                      <w:webHidden/>
                      <w:lang w:val="en-US"/>
                    </w:rPr>
                    <w:fldChar w:fldCharType="separate"/>
                  </w:r>
                  <w:r w:rsidR="00372F12">
                    <w:rPr>
                      <w:noProof/>
                      <w:webHidden/>
                      <w:lang w:val="en-US"/>
                    </w:rPr>
                    <w:t>63</w:t>
                  </w:r>
                  <w:r w:rsidRPr="002E4D67">
                    <w:rPr>
                      <w:noProof/>
                      <w:webHidden/>
                      <w:lang w:val="en-US"/>
                    </w:rPr>
                    <w:fldChar w:fldCharType="end"/>
                  </w:r>
                </w:hyperlink>
              </w:p>
              <w:p w14:paraId="0126B971" w14:textId="37E47F31"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35" w:history="1">
                  <w:r w:rsidRPr="002E4D67">
                    <w:rPr>
                      <w:rStyle w:val="Hyperlink"/>
                      <w:noProof/>
                      <w:lang w:val="en-US"/>
                    </w:rPr>
                    <w:t>I.1 Offer-related risks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_Toc213179235 \h </w:instrText>
                  </w:r>
                  <w:r w:rsidRPr="002E4D67">
                    <w:rPr>
                      <w:noProof/>
                      <w:webHidden/>
                      <w:lang w:val="en-US"/>
                    </w:rPr>
                  </w:r>
                  <w:r w:rsidRPr="002E4D67">
                    <w:rPr>
                      <w:noProof/>
                      <w:webHidden/>
                      <w:lang w:val="en-US"/>
                    </w:rPr>
                    <w:fldChar w:fldCharType="separate"/>
                  </w:r>
                  <w:r w:rsidR="00372F12">
                    <w:rPr>
                      <w:noProof/>
                      <w:webHidden/>
                      <w:lang w:val="en-US"/>
                    </w:rPr>
                    <w:t>63</w:t>
                  </w:r>
                  <w:r w:rsidRPr="002E4D67">
                    <w:rPr>
                      <w:noProof/>
                      <w:webHidden/>
                      <w:lang w:val="en-US"/>
                    </w:rPr>
                    <w:fldChar w:fldCharType="end"/>
                  </w:r>
                </w:hyperlink>
              </w:p>
              <w:p w14:paraId="45A4C997" w14:textId="465EE414"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36" w:history="1">
                  <w:r w:rsidRPr="002E4D67">
                    <w:rPr>
                      <w:rStyle w:val="Hyperlink"/>
                      <w:noProof/>
                      <w:lang w:val="en-US"/>
                    </w:rPr>
                    <w:t>I.2 Issuer-related risks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_Toc213179236 \h </w:instrText>
                  </w:r>
                  <w:r w:rsidRPr="002E4D67">
                    <w:rPr>
                      <w:noProof/>
                      <w:webHidden/>
                      <w:lang w:val="en-US"/>
                    </w:rPr>
                  </w:r>
                  <w:r w:rsidRPr="002E4D67">
                    <w:rPr>
                      <w:noProof/>
                      <w:webHidden/>
                      <w:lang w:val="en-US"/>
                    </w:rPr>
                    <w:fldChar w:fldCharType="separate"/>
                  </w:r>
                  <w:r w:rsidR="00372F12">
                    <w:rPr>
                      <w:noProof/>
                      <w:webHidden/>
                      <w:lang w:val="en-US"/>
                    </w:rPr>
                    <w:t>66</w:t>
                  </w:r>
                  <w:r w:rsidRPr="002E4D67">
                    <w:rPr>
                      <w:noProof/>
                      <w:webHidden/>
                      <w:lang w:val="en-US"/>
                    </w:rPr>
                    <w:fldChar w:fldCharType="end"/>
                  </w:r>
                </w:hyperlink>
              </w:p>
              <w:p w14:paraId="5DD67FC5" w14:textId="33178AEA"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37" w:history="1">
                  <w:r w:rsidRPr="002E4D67">
                    <w:rPr>
                      <w:rStyle w:val="Hyperlink"/>
                      <w:noProof/>
                      <w:lang w:val="en-US"/>
                    </w:rPr>
                    <w:t>I.3 Crypto-assets-related risks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_Toc213179237 \h </w:instrText>
                  </w:r>
                  <w:r w:rsidRPr="002E4D67">
                    <w:rPr>
                      <w:noProof/>
                      <w:webHidden/>
                      <w:lang w:val="en-US"/>
                    </w:rPr>
                  </w:r>
                  <w:r w:rsidRPr="002E4D67">
                    <w:rPr>
                      <w:noProof/>
                      <w:webHidden/>
                      <w:lang w:val="en-US"/>
                    </w:rPr>
                    <w:fldChar w:fldCharType="separate"/>
                  </w:r>
                  <w:r w:rsidR="00372F12">
                    <w:rPr>
                      <w:noProof/>
                      <w:webHidden/>
                      <w:lang w:val="en-US"/>
                    </w:rPr>
                    <w:t>66</w:t>
                  </w:r>
                  <w:r w:rsidRPr="002E4D67">
                    <w:rPr>
                      <w:noProof/>
                      <w:webHidden/>
                      <w:lang w:val="en-US"/>
                    </w:rPr>
                    <w:fldChar w:fldCharType="end"/>
                  </w:r>
                </w:hyperlink>
              </w:p>
              <w:p w14:paraId="08F08CAD" w14:textId="0C753518"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38" w:history="1">
                  <w:r w:rsidRPr="002E4D67">
                    <w:rPr>
                      <w:rStyle w:val="Hyperlink"/>
                      <w:noProof/>
                      <w:lang w:val="en-US"/>
                    </w:rPr>
                    <w:t>I.4 Project implementation-related risks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_Toc213179238 \h </w:instrText>
                  </w:r>
                  <w:r w:rsidRPr="002E4D67">
                    <w:rPr>
                      <w:noProof/>
                      <w:webHidden/>
                      <w:lang w:val="en-US"/>
                    </w:rPr>
                  </w:r>
                  <w:r w:rsidRPr="002E4D67">
                    <w:rPr>
                      <w:noProof/>
                      <w:webHidden/>
                      <w:lang w:val="en-US"/>
                    </w:rPr>
                    <w:fldChar w:fldCharType="separate"/>
                  </w:r>
                  <w:r w:rsidR="00372F12">
                    <w:rPr>
                      <w:noProof/>
                      <w:webHidden/>
                      <w:lang w:val="en-US"/>
                    </w:rPr>
                    <w:t>68</w:t>
                  </w:r>
                  <w:r w:rsidRPr="002E4D67">
                    <w:rPr>
                      <w:noProof/>
                      <w:webHidden/>
                      <w:lang w:val="en-US"/>
                    </w:rPr>
                    <w:fldChar w:fldCharType="end"/>
                  </w:r>
                </w:hyperlink>
              </w:p>
              <w:p w14:paraId="0F516FBD" w14:textId="3738BFC9"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39" w:history="1">
                  <w:r w:rsidRPr="002E4D67">
                    <w:rPr>
                      <w:rStyle w:val="Hyperlink"/>
                      <w:noProof/>
                      <w:lang w:val="en-US"/>
                    </w:rPr>
                    <w:t>I.5 Technology-related risks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_Toc213179239 \h </w:instrText>
                  </w:r>
                  <w:r w:rsidRPr="002E4D67">
                    <w:rPr>
                      <w:noProof/>
                      <w:webHidden/>
                      <w:lang w:val="en-US"/>
                    </w:rPr>
                  </w:r>
                  <w:r w:rsidRPr="002E4D67">
                    <w:rPr>
                      <w:noProof/>
                      <w:webHidden/>
                      <w:lang w:val="en-US"/>
                    </w:rPr>
                    <w:fldChar w:fldCharType="separate"/>
                  </w:r>
                  <w:r w:rsidR="00372F12">
                    <w:rPr>
                      <w:noProof/>
                      <w:webHidden/>
                      <w:lang w:val="en-US"/>
                    </w:rPr>
                    <w:t>69</w:t>
                  </w:r>
                  <w:r w:rsidRPr="002E4D67">
                    <w:rPr>
                      <w:noProof/>
                      <w:webHidden/>
                      <w:lang w:val="en-US"/>
                    </w:rPr>
                    <w:fldChar w:fldCharType="end"/>
                  </w:r>
                </w:hyperlink>
              </w:p>
              <w:p w14:paraId="4238638D" w14:textId="191CFBC6"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40" w:history="1">
                  <w:r w:rsidRPr="002E4D67">
                    <w:rPr>
                      <w:rStyle w:val="Hyperlink"/>
                      <w:noProof/>
                      <w:lang w:val="en-US"/>
                    </w:rPr>
                    <w:t>I.6 Mitigation measures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_Toc213179240 \h </w:instrText>
                  </w:r>
                  <w:r w:rsidRPr="002E4D67">
                    <w:rPr>
                      <w:noProof/>
                      <w:webHidden/>
                      <w:lang w:val="en-US"/>
                    </w:rPr>
                  </w:r>
                  <w:r w:rsidRPr="002E4D67">
                    <w:rPr>
                      <w:noProof/>
                      <w:webHidden/>
                      <w:lang w:val="en-US"/>
                    </w:rPr>
                    <w:fldChar w:fldCharType="separate"/>
                  </w:r>
                  <w:r w:rsidR="00372F12">
                    <w:rPr>
                      <w:noProof/>
                      <w:webHidden/>
                      <w:lang w:val="en-US"/>
                    </w:rPr>
                    <w:t>71</w:t>
                  </w:r>
                  <w:r w:rsidRPr="002E4D67">
                    <w:rPr>
                      <w:noProof/>
                      <w:webHidden/>
                      <w:lang w:val="en-US"/>
                    </w:rPr>
                    <w:fldChar w:fldCharType="end"/>
                  </w:r>
                </w:hyperlink>
              </w:p>
              <w:p w14:paraId="084FF36A" w14:textId="26DBAFBF"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41" w:history="1">
                  <w:r w:rsidRPr="002E4D67">
                    <w:rPr>
                      <w:rStyle w:val="Hyperlink"/>
                      <w:noProof/>
                      <w:lang w:val="en-US"/>
                    </w:rPr>
                    <w:t>Part J – Information on the sustainability indicators in relation to adverse impact on the climate and other environment-related adverse impacts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_Toc213179241 \h </w:instrText>
                  </w:r>
                  <w:r w:rsidRPr="002E4D67">
                    <w:rPr>
                      <w:noProof/>
                      <w:webHidden/>
                      <w:lang w:val="en-US"/>
                    </w:rPr>
                  </w:r>
                  <w:r w:rsidRPr="002E4D67">
                    <w:rPr>
                      <w:noProof/>
                      <w:webHidden/>
                      <w:lang w:val="en-US"/>
                    </w:rPr>
                    <w:fldChar w:fldCharType="separate"/>
                  </w:r>
                  <w:r w:rsidR="00372F12">
                    <w:rPr>
                      <w:noProof/>
                      <w:webHidden/>
                      <w:lang w:val="en-US"/>
                    </w:rPr>
                    <w:t>72</w:t>
                  </w:r>
                  <w:r w:rsidRPr="002E4D67">
                    <w:rPr>
                      <w:noProof/>
                      <w:webHidden/>
                      <w:lang w:val="en-US"/>
                    </w:rPr>
                    <w:fldChar w:fldCharType="end"/>
                  </w:r>
                </w:hyperlink>
              </w:p>
              <w:p w14:paraId="7E39DF27" w14:textId="6281791F"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42" w:history="1">
                  <w:r w:rsidRPr="002E4D67">
                    <w:rPr>
                      <w:rStyle w:val="Hyperlink"/>
                      <w:noProof/>
                      <w:lang w:val="en-US"/>
                    </w:rPr>
                    <w:t>J.1 Adverse impacts on climate and other environment-related adverse impacts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_Toc213179242 \h </w:instrText>
                  </w:r>
                  <w:r w:rsidRPr="002E4D67">
                    <w:rPr>
                      <w:noProof/>
                      <w:webHidden/>
                      <w:lang w:val="en-US"/>
                    </w:rPr>
                  </w:r>
                  <w:r w:rsidRPr="002E4D67">
                    <w:rPr>
                      <w:noProof/>
                      <w:webHidden/>
                      <w:lang w:val="en-US"/>
                    </w:rPr>
                    <w:fldChar w:fldCharType="separate"/>
                  </w:r>
                  <w:r w:rsidR="00372F12">
                    <w:rPr>
                      <w:noProof/>
                      <w:webHidden/>
                      <w:lang w:val="en-US"/>
                    </w:rPr>
                    <w:t>72</w:t>
                  </w:r>
                  <w:r w:rsidRPr="002E4D67">
                    <w:rPr>
                      <w:noProof/>
                      <w:webHidden/>
                      <w:lang w:val="en-US"/>
                    </w:rPr>
                    <w:fldChar w:fldCharType="end"/>
                  </w:r>
                </w:hyperlink>
              </w:p>
              <w:p w14:paraId="0D32DD79" w14:textId="4372DF5E"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43" w:history="1">
                  <w:r w:rsidRPr="002E4D67">
                    <w:rPr>
                      <w:rStyle w:val="Hyperlink"/>
                      <w:noProof/>
                      <w:lang w:val="en-US"/>
                    </w:rPr>
                    <w:t>Mandatory information on principal adverse impacts on the climate and other environment-related adverse impacts of the consensus mechanism</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_Toc213179243 \h </w:instrText>
                  </w:r>
                  <w:r w:rsidRPr="002E4D67">
                    <w:rPr>
                      <w:noProof/>
                      <w:webHidden/>
                      <w:lang w:val="en-US"/>
                    </w:rPr>
                  </w:r>
                  <w:r w:rsidRPr="002E4D67">
                    <w:rPr>
                      <w:noProof/>
                      <w:webHidden/>
                      <w:lang w:val="en-US"/>
                    </w:rPr>
                    <w:fldChar w:fldCharType="separate"/>
                  </w:r>
                  <w:r w:rsidR="00372F12">
                    <w:rPr>
                      <w:noProof/>
                      <w:webHidden/>
                      <w:lang w:val="en-US"/>
                    </w:rPr>
                    <w:t>72</w:t>
                  </w:r>
                  <w:r w:rsidRPr="002E4D67">
                    <w:rPr>
                      <w:noProof/>
                      <w:webHidden/>
                      <w:lang w:val="en-US"/>
                    </w:rPr>
                    <w:fldChar w:fldCharType="end"/>
                  </w:r>
                </w:hyperlink>
              </w:p>
              <w:p w14:paraId="736719A2" w14:textId="1A5A8DCA"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44" w:history="1">
                  <w:r w:rsidRPr="002E4D67">
                    <w:rPr>
                      <w:rStyle w:val="Hyperlink"/>
                      <w:noProof/>
                      <w:lang w:val="en-US"/>
                    </w:rPr>
                    <w:t>S.1 Name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_Toc213179244 \h </w:instrText>
                  </w:r>
                  <w:r w:rsidRPr="002E4D67">
                    <w:rPr>
                      <w:noProof/>
                      <w:webHidden/>
                      <w:lang w:val="en-US"/>
                    </w:rPr>
                  </w:r>
                  <w:r w:rsidRPr="002E4D67">
                    <w:rPr>
                      <w:noProof/>
                      <w:webHidden/>
                      <w:lang w:val="en-US"/>
                    </w:rPr>
                    <w:fldChar w:fldCharType="separate"/>
                  </w:r>
                  <w:r w:rsidR="00372F12">
                    <w:rPr>
                      <w:noProof/>
                      <w:webHidden/>
                      <w:lang w:val="en-US"/>
                    </w:rPr>
                    <w:t>72</w:t>
                  </w:r>
                  <w:r w:rsidRPr="002E4D67">
                    <w:rPr>
                      <w:noProof/>
                      <w:webHidden/>
                      <w:lang w:val="en-US"/>
                    </w:rPr>
                    <w:fldChar w:fldCharType="end"/>
                  </w:r>
                </w:hyperlink>
              </w:p>
              <w:p w14:paraId="554F6246" w14:textId="1A1347DA"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45" w:history="1">
                  <w:r w:rsidRPr="002E4D67">
                    <w:rPr>
                      <w:rStyle w:val="Hyperlink"/>
                      <w:noProof/>
                      <w:lang w:val="en-US"/>
                    </w:rPr>
                    <w:t>S.2 Relevant legal entity identifier</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_Toc213179245 \h </w:instrText>
                  </w:r>
                  <w:r w:rsidRPr="002E4D67">
                    <w:rPr>
                      <w:noProof/>
                      <w:webHidden/>
                      <w:lang w:val="en-US"/>
                    </w:rPr>
                  </w:r>
                  <w:r w:rsidRPr="002E4D67">
                    <w:rPr>
                      <w:noProof/>
                      <w:webHidden/>
                      <w:lang w:val="en-US"/>
                    </w:rPr>
                    <w:fldChar w:fldCharType="separate"/>
                  </w:r>
                  <w:r w:rsidR="00372F12">
                    <w:rPr>
                      <w:noProof/>
                      <w:webHidden/>
                      <w:lang w:val="en-US"/>
                    </w:rPr>
                    <w:t>72</w:t>
                  </w:r>
                  <w:r w:rsidRPr="002E4D67">
                    <w:rPr>
                      <w:noProof/>
                      <w:webHidden/>
                      <w:lang w:val="en-US"/>
                    </w:rPr>
                    <w:fldChar w:fldCharType="end"/>
                  </w:r>
                </w:hyperlink>
              </w:p>
              <w:p w14:paraId="6179EC2C" w14:textId="6867CC03"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46" w:history="1">
                  <w:r w:rsidRPr="002E4D67">
                    <w:rPr>
                      <w:rStyle w:val="Hyperlink"/>
                      <w:noProof/>
                      <w:lang w:val="en-US"/>
                    </w:rPr>
                    <w:t>S.3 Name of the crypto assets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_Toc213179246 \h </w:instrText>
                  </w:r>
                  <w:r w:rsidRPr="002E4D67">
                    <w:rPr>
                      <w:noProof/>
                      <w:webHidden/>
                      <w:lang w:val="en-US"/>
                    </w:rPr>
                  </w:r>
                  <w:r w:rsidRPr="002E4D67">
                    <w:rPr>
                      <w:noProof/>
                      <w:webHidden/>
                      <w:lang w:val="en-US"/>
                    </w:rPr>
                    <w:fldChar w:fldCharType="separate"/>
                  </w:r>
                  <w:r w:rsidR="00372F12">
                    <w:rPr>
                      <w:noProof/>
                      <w:webHidden/>
                      <w:lang w:val="en-US"/>
                    </w:rPr>
                    <w:t>72</w:t>
                  </w:r>
                  <w:r w:rsidRPr="002E4D67">
                    <w:rPr>
                      <w:noProof/>
                      <w:webHidden/>
                      <w:lang w:val="en-US"/>
                    </w:rPr>
                    <w:fldChar w:fldCharType="end"/>
                  </w:r>
                </w:hyperlink>
              </w:p>
              <w:p w14:paraId="1D663E89" w14:textId="385F7903"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47" w:history="1">
                  <w:r w:rsidRPr="002E4D67">
                    <w:rPr>
                      <w:rStyle w:val="Hyperlink"/>
                      <w:noProof/>
                      <w:lang w:val="en-US"/>
                    </w:rPr>
                    <w:t>S.4 Consensus Mechanism</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_Toc213179247 \h </w:instrText>
                  </w:r>
                  <w:r w:rsidRPr="002E4D67">
                    <w:rPr>
                      <w:noProof/>
                      <w:webHidden/>
                      <w:lang w:val="en-US"/>
                    </w:rPr>
                  </w:r>
                  <w:r w:rsidRPr="002E4D67">
                    <w:rPr>
                      <w:noProof/>
                      <w:webHidden/>
                      <w:lang w:val="en-US"/>
                    </w:rPr>
                    <w:fldChar w:fldCharType="separate"/>
                  </w:r>
                  <w:r w:rsidR="00372F12">
                    <w:rPr>
                      <w:noProof/>
                      <w:webHidden/>
                      <w:lang w:val="en-US"/>
                    </w:rPr>
                    <w:t>73</w:t>
                  </w:r>
                  <w:r w:rsidRPr="002E4D67">
                    <w:rPr>
                      <w:noProof/>
                      <w:webHidden/>
                      <w:lang w:val="en-US"/>
                    </w:rPr>
                    <w:fldChar w:fldCharType="end"/>
                  </w:r>
                </w:hyperlink>
              </w:p>
              <w:p w14:paraId="7679CC7B" w14:textId="6D2829AF"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48" w:history="1">
                  <w:r w:rsidRPr="002E4D67">
                    <w:rPr>
                      <w:rStyle w:val="Hyperlink"/>
                      <w:noProof/>
                      <w:lang w:val="en-US"/>
                    </w:rPr>
                    <w:t>S.5 Incentive Mechanisms and Applicable Fees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_Toc213179248 \h </w:instrText>
                  </w:r>
                  <w:r w:rsidRPr="002E4D67">
                    <w:rPr>
                      <w:noProof/>
                      <w:webHidden/>
                      <w:lang w:val="en-US"/>
                    </w:rPr>
                  </w:r>
                  <w:r w:rsidRPr="002E4D67">
                    <w:rPr>
                      <w:noProof/>
                      <w:webHidden/>
                      <w:lang w:val="en-US"/>
                    </w:rPr>
                    <w:fldChar w:fldCharType="separate"/>
                  </w:r>
                  <w:r w:rsidR="00372F12">
                    <w:rPr>
                      <w:noProof/>
                      <w:webHidden/>
                      <w:lang w:val="en-US"/>
                    </w:rPr>
                    <w:t>73</w:t>
                  </w:r>
                  <w:r w:rsidRPr="002E4D67">
                    <w:rPr>
                      <w:noProof/>
                      <w:webHidden/>
                      <w:lang w:val="en-US"/>
                    </w:rPr>
                    <w:fldChar w:fldCharType="end"/>
                  </w:r>
                </w:hyperlink>
              </w:p>
              <w:p w14:paraId="39A68C29" w14:textId="3B2C5B5F"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49" w:history="1">
                  <w:r w:rsidRPr="002E4D67">
                    <w:rPr>
                      <w:rStyle w:val="Hyperlink"/>
                      <w:noProof/>
                      <w:lang w:val="en-US"/>
                    </w:rPr>
                    <w:t>S.6 Beginning of the period to which the disclosure relate</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_Toc213179249 \h </w:instrText>
                  </w:r>
                  <w:r w:rsidRPr="002E4D67">
                    <w:rPr>
                      <w:noProof/>
                      <w:webHidden/>
                      <w:lang w:val="en-US"/>
                    </w:rPr>
                  </w:r>
                  <w:r w:rsidRPr="002E4D67">
                    <w:rPr>
                      <w:noProof/>
                      <w:webHidden/>
                      <w:lang w:val="en-US"/>
                    </w:rPr>
                    <w:fldChar w:fldCharType="separate"/>
                  </w:r>
                  <w:r w:rsidR="00372F12">
                    <w:rPr>
                      <w:noProof/>
                      <w:webHidden/>
                      <w:lang w:val="en-US"/>
                    </w:rPr>
                    <w:t>73</w:t>
                  </w:r>
                  <w:r w:rsidRPr="002E4D67">
                    <w:rPr>
                      <w:noProof/>
                      <w:webHidden/>
                      <w:lang w:val="en-US"/>
                    </w:rPr>
                    <w:fldChar w:fldCharType="end"/>
                  </w:r>
                </w:hyperlink>
              </w:p>
              <w:p w14:paraId="455BD5F0" w14:textId="10B6BC36"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50" w:history="1">
                  <w:r w:rsidRPr="002E4D67">
                    <w:rPr>
                      <w:rStyle w:val="Hyperlink"/>
                      <w:noProof/>
                      <w:lang w:val="en-US"/>
                    </w:rPr>
                    <w:t>S.7 End of the period to which the disclosure relates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_Toc213179250 \h </w:instrText>
                  </w:r>
                  <w:r w:rsidRPr="002E4D67">
                    <w:rPr>
                      <w:noProof/>
                      <w:webHidden/>
                      <w:lang w:val="en-US"/>
                    </w:rPr>
                  </w:r>
                  <w:r w:rsidRPr="002E4D67">
                    <w:rPr>
                      <w:noProof/>
                      <w:webHidden/>
                      <w:lang w:val="en-US"/>
                    </w:rPr>
                    <w:fldChar w:fldCharType="separate"/>
                  </w:r>
                  <w:r w:rsidR="00372F12">
                    <w:rPr>
                      <w:noProof/>
                      <w:webHidden/>
                      <w:lang w:val="en-US"/>
                    </w:rPr>
                    <w:t>73</w:t>
                  </w:r>
                  <w:r w:rsidRPr="002E4D67">
                    <w:rPr>
                      <w:noProof/>
                      <w:webHidden/>
                      <w:lang w:val="en-US"/>
                    </w:rPr>
                    <w:fldChar w:fldCharType="end"/>
                  </w:r>
                </w:hyperlink>
              </w:p>
              <w:p w14:paraId="6F2B383E" w14:textId="53B26924"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51" w:history="1">
                  <w:r w:rsidRPr="002E4D67">
                    <w:rPr>
                      <w:rStyle w:val="Hyperlink"/>
                      <w:noProof/>
                      <w:lang w:val="en-US"/>
                    </w:rPr>
                    <w:t>S.8 Energy consumption</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_Toc213179251 \h </w:instrText>
                  </w:r>
                  <w:r w:rsidRPr="002E4D67">
                    <w:rPr>
                      <w:noProof/>
                      <w:webHidden/>
                      <w:lang w:val="en-US"/>
                    </w:rPr>
                  </w:r>
                  <w:r w:rsidRPr="002E4D67">
                    <w:rPr>
                      <w:noProof/>
                      <w:webHidden/>
                      <w:lang w:val="en-US"/>
                    </w:rPr>
                    <w:fldChar w:fldCharType="separate"/>
                  </w:r>
                  <w:r w:rsidR="00372F12">
                    <w:rPr>
                      <w:noProof/>
                      <w:webHidden/>
                      <w:lang w:val="en-US"/>
                    </w:rPr>
                    <w:t>73</w:t>
                  </w:r>
                  <w:r w:rsidRPr="002E4D67">
                    <w:rPr>
                      <w:noProof/>
                      <w:webHidden/>
                      <w:lang w:val="en-US"/>
                    </w:rPr>
                    <w:fldChar w:fldCharType="end"/>
                  </w:r>
                </w:hyperlink>
              </w:p>
              <w:p w14:paraId="68199D7B" w14:textId="6C365930"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52" w:history="1">
                  <w:r w:rsidRPr="002E4D67">
                    <w:rPr>
                      <w:rStyle w:val="Hyperlink"/>
                      <w:noProof/>
                      <w:lang w:val="en-US"/>
                    </w:rPr>
                    <w:t>S.9 Energy consumption sources and methodologies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_Toc213179252 \h </w:instrText>
                  </w:r>
                  <w:r w:rsidRPr="002E4D67">
                    <w:rPr>
                      <w:noProof/>
                      <w:webHidden/>
                      <w:lang w:val="en-US"/>
                    </w:rPr>
                  </w:r>
                  <w:r w:rsidRPr="002E4D67">
                    <w:rPr>
                      <w:noProof/>
                      <w:webHidden/>
                      <w:lang w:val="en-US"/>
                    </w:rPr>
                    <w:fldChar w:fldCharType="separate"/>
                  </w:r>
                  <w:r w:rsidR="00372F12">
                    <w:rPr>
                      <w:noProof/>
                      <w:webHidden/>
                      <w:lang w:val="en-US"/>
                    </w:rPr>
                    <w:t>73</w:t>
                  </w:r>
                  <w:r w:rsidRPr="002E4D67">
                    <w:rPr>
                      <w:noProof/>
                      <w:webHidden/>
                      <w:lang w:val="en-US"/>
                    </w:rPr>
                    <w:fldChar w:fldCharType="end"/>
                  </w:r>
                </w:hyperlink>
              </w:p>
              <w:p w14:paraId="39BB545F" w14:textId="6A1741E1"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53" w:history="1">
                  <w:r w:rsidRPr="002E4D67">
                    <w:rPr>
                      <w:rStyle w:val="Hyperlink"/>
                      <w:noProof/>
                      <w:lang w:val="en-US"/>
                    </w:rPr>
                    <w:t>S.10 Renewable energy consumption</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_Toc213179253 \h </w:instrText>
                  </w:r>
                  <w:r w:rsidRPr="002E4D67">
                    <w:rPr>
                      <w:noProof/>
                      <w:webHidden/>
                      <w:lang w:val="en-US"/>
                    </w:rPr>
                  </w:r>
                  <w:r w:rsidRPr="002E4D67">
                    <w:rPr>
                      <w:noProof/>
                      <w:webHidden/>
                      <w:lang w:val="en-US"/>
                    </w:rPr>
                    <w:fldChar w:fldCharType="separate"/>
                  </w:r>
                  <w:r w:rsidR="00372F12">
                    <w:rPr>
                      <w:noProof/>
                      <w:webHidden/>
                      <w:lang w:val="en-US"/>
                    </w:rPr>
                    <w:t>74</w:t>
                  </w:r>
                  <w:r w:rsidRPr="002E4D67">
                    <w:rPr>
                      <w:noProof/>
                      <w:webHidden/>
                      <w:lang w:val="en-US"/>
                    </w:rPr>
                    <w:fldChar w:fldCharType="end"/>
                  </w:r>
                </w:hyperlink>
              </w:p>
              <w:p w14:paraId="62A08E6F" w14:textId="5FAC7D91"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54" w:history="1">
                  <w:r w:rsidRPr="002E4D67">
                    <w:rPr>
                      <w:rStyle w:val="Hyperlink"/>
                      <w:noProof/>
                      <w:lang w:val="en-US"/>
                    </w:rPr>
                    <w:t>S.11 Energy intensity</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_Toc213179254 \h </w:instrText>
                  </w:r>
                  <w:r w:rsidRPr="002E4D67">
                    <w:rPr>
                      <w:noProof/>
                      <w:webHidden/>
                      <w:lang w:val="en-US"/>
                    </w:rPr>
                  </w:r>
                  <w:r w:rsidRPr="002E4D67">
                    <w:rPr>
                      <w:noProof/>
                      <w:webHidden/>
                      <w:lang w:val="en-US"/>
                    </w:rPr>
                    <w:fldChar w:fldCharType="separate"/>
                  </w:r>
                  <w:r w:rsidR="00372F12">
                    <w:rPr>
                      <w:noProof/>
                      <w:webHidden/>
                      <w:lang w:val="en-US"/>
                    </w:rPr>
                    <w:t>75</w:t>
                  </w:r>
                  <w:r w:rsidRPr="002E4D67">
                    <w:rPr>
                      <w:noProof/>
                      <w:webHidden/>
                      <w:lang w:val="en-US"/>
                    </w:rPr>
                    <w:fldChar w:fldCharType="end"/>
                  </w:r>
                </w:hyperlink>
              </w:p>
              <w:p w14:paraId="448534EE" w14:textId="55B81C16"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55" w:history="1">
                  <w:r w:rsidRPr="002E4D67">
                    <w:rPr>
                      <w:rStyle w:val="Hyperlink"/>
                      <w:noProof/>
                      <w:lang w:val="en-US"/>
                    </w:rPr>
                    <w:t>S.12 Scope 1 DLT GHG emissions – controlled</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_Toc213179255 \h </w:instrText>
                  </w:r>
                  <w:r w:rsidRPr="002E4D67">
                    <w:rPr>
                      <w:noProof/>
                      <w:webHidden/>
                      <w:lang w:val="en-US"/>
                    </w:rPr>
                  </w:r>
                  <w:r w:rsidRPr="002E4D67">
                    <w:rPr>
                      <w:noProof/>
                      <w:webHidden/>
                      <w:lang w:val="en-US"/>
                    </w:rPr>
                    <w:fldChar w:fldCharType="separate"/>
                  </w:r>
                  <w:r w:rsidR="00372F12">
                    <w:rPr>
                      <w:noProof/>
                      <w:webHidden/>
                      <w:lang w:val="en-US"/>
                    </w:rPr>
                    <w:t>75</w:t>
                  </w:r>
                  <w:r w:rsidRPr="002E4D67">
                    <w:rPr>
                      <w:noProof/>
                      <w:webHidden/>
                      <w:lang w:val="en-US"/>
                    </w:rPr>
                    <w:fldChar w:fldCharType="end"/>
                  </w:r>
                </w:hyperlink>
              </w:p>
              <w:p w14:paraId="454C6AEC" w14:textId="739FAB9A"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56" w:history="1">
                  <w:r w:rsidRPr="002E4D67">
                    <w:rPr>
                      <w:rStyle w:val="Hyperlink"/>
                      <w:noProof/>
                      <w:lang w:val="en-US"/>
                    </w:rPr>
                    <w:t>S.13 Scope 2 DLT GHG emissions – purchased</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_Toc213179256 \h </w:instrText>
                  </w:r>
                  <w:r w:rsidRPr="002E4D67">
                    <w:rPr>
                      <w:noProof/>
                      <w:webHidden/>
                      <w:lang w:val="en-US"/>
                    </w:rPr>
                  </w:r>
                  <w:r w:rsidRPr="002E4D67">
                    <w:rPr>
                      <w:noProof/>
                      <w:webHidden/>
                      <w:lang w:val="en-US"/>
                    </w:rPr>
                    <w:fldChar w:fldCharType="separate"/>
                  </w:r>
                  <w:r w:rsidR="00372F12">
                    <w:rPr>
                      <w:noProof/>
                      <w:webHidden/>
                      <w:lang w:val="en-US"/>
                    </w:rPr>
                    <w:t>75</w:t>
                  </w:r>
                  <w:r w:rsidRPr="002E4D67">
                    <w:rPr>
                      <w:noProof/>
                      <w:webHidden/>
                      <w:lang w:val="en-US"/>
                    </w:rPr>
                    <w:fldChar w:fldCharType="end"/>
                  </w:r>
                </w:hyperlink>
              </w:p>
              <w:p w14:paraId="1FAEBF1F" w14:textId="0C9A7A68"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57" w:history="1">
                  <w:r w:rsidRPr="002E4D67">
                    <w:rPr>
                      <w:rStyle w:val="Hyperlink"/>
                      <w:noProof/>
                      <w:lang w:val="en-US"/>
                    </w:rPr>
                    <w:t>S.14 GHG Intensity</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_Toc213179257 \h </w:instrText>
                  </w:r>
                  <w:r w:rsidRPr="002E4D67">
                    <w:rPr>
                      <w:noProof/>
                      <w:webHidden/>
                      <w:lang w:val="en-US"/>
                    </w:rPr>
                  </w:r>
                  <w:r w:rsidRPr="002E4D67">
                    <w:rPr>
                      <w:noProof/>
                      <w:webHidden/>
                      <w:lang w:val="en-US"/>
                    </w:rPr>
                    <w:fldChar w:fldCharType="separate"/>
                  </w:r>
                  <w:r w:rsidR="00372F12">
                    <w:rPr>
                      <w:noProof/>
                      <w:webHidden/>
                      <w:lang w:val="en-US"/>
                    </w:rPr>
                    <w:t>75</w:t>
                  </w:r>
                  <w:r w:rsidRPr="002E4D67">
                    <w:rPr>
                      <w:noProof/>
                      <w:webHidden/>
                      <w:lang w:val="en-US"/>
                    </w:rPr>
                    <w:fldChar w:fldCharType="end"/>
                  </w:r>
                </w:hyperlink>
              </w:p>
              <w:p w14:paraId="0DE6C482" w14:textId="1E136A36"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58" w:history="1">
                  <w:r w:rsidRPr="002E4D67">
                    <w:rPr>
                      <w:rStyle w:val="Hyperlink"/>
                      <w:noProof/>
                      <w:lang w:val="en-US"/>
                    </w:rPr>
                    <w:t>S.15 Key energy sources and methodologies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_Toc213179258 \h </w:instrText>
                  </w:r>
                  <w:r w:rsidRPr="002E4D67">
                    <w:rPr>
                      <w:noProof/>
                      <w:webHidden/>
                      <w:lang w:val="en-US"/>
                    </w:rPr>
                  </w:r>
                  <w:r w:rsidRPr="002E4D67">
                    <w:rPr>
                      <w:noProof/>
                      <w:webHidden/>
                      <w:lang w:val="en-US"/>
                    </w:rPr>
                    <w:fldChar w:fldCharType="separate"/>
                  </w:r>
                  <w:r w:rsidR="00372F12">
                    <w:rPr>
                      <w:noProof/>
                      <w:webHidden/>
                      <w:lang w:val="en-US"/>
                    </w:rPr>
                    <w:t>75</w:t>
                  </w:r>
                  <w:r w:rsidRPr="002E4D67">
                    <w:rPr>
                      <w:noProof/>
                      <w:webHidden/>
                      <w:lang w:val="en-US"/>
                    </w:rPr>
                    <w:fldChar w:fldCharType="end"/>
                  </w:r>
                </w:hyperlink>
              </w:p>
              <w:p w14:paraId="690D6433" w14:textId="13BE5B2C" w:rsidR="00C607E5" w:rsidRPr="002E4D67" w:rsidRDefault="00C607E5">
                <w:pPr>
                  <w:pStyle w:val="Verzeichnis1"/>
                  <w:rPr>
                    <w:rFonts w:asciiTheme="minorHAnsi" w:eastAsiaTheme="minorEastAsia" w:hAnsiTheme="minorHAnsi" w:cstheme="minorBidi"/>
                    <w:b w:val="0"/>
                    <w:noProof/>
                    <w:kern w:val="2"/>
                    <w:sz w:val="24"/>
                    <w:lang w:val="en-US"/>
                    <w14:ligatures w14:val="standardContextual"/>
                  </w:rPr>
                </w:pPr>
                <w:hyperlink w:anchor="_Toc213179259" w:history="1">
                  <w:r w:rsidRPr="002E4D67">
                    <w:rPr>
                      <w:rStyle w:val="Hyperlink"/>
                      <w:noProof/>
                      <w:lang w:val="en-US"/>
                    </w:rPr>
                    <w:t>S.16 Key GHG sources and methodologies</w:t>
                  </w:r>
                  <w:r w:rsidRPr="002E4D67">
                    <w:rPr>
                      <w:noProof/>
                      <w:webHidden/>
                      <w:lang w:val="en-US"/>
                    </w:rPr>
                    <w:tab/>
                  </w:r>
                  <w:r w:rsidRPr="002E4D67">
                    <w:rPr>
                      <w:noProof/>
                      <w:webHidden/>
                      <w:lang w:val="en-US"/>
                    </w:rPr>
                    <w:fldChar w:fldCharType="begin"/>
                  </w:r>
                  <w:r w:rsidRPr="002E4D67">
                    <w:rPr>
                      <w:noProof/>
                      <w:webHidden/>
                      <w:lang w:val="en-US"/>
                    </w:rPr>
                    <w:instrText xml:space="preserve"> PAGEREF _Toc213179259 \h </w:instrText>
                  </w:r>
                  <w:r w:rsidRPr="002E4D67">
                    <w:rPr>
                      <w:noProof/>
                      <w:webHidden/>
                      <w:lang w:val="en-US"/>
                    </w:rPr>
                  </w:r>
                  <w:r w:rsidRPr="002E4D67">
                    <w:rPr>
                      <w:noProof/>
                      <w:webHidden/>
                      <w:lang w:val="en-US"/>
                    </w:rPr>
                    <w:fldChar w:fldCharType="separate"/>
                  </w:r>
                  <w:r w:rsidR="00372F12">
                    <w:rPr>
                      <w:noProof/>
                      <w:webHidden/>
                      <w:lang w:val="en-US"/>
                    </w:rPr>
                    <w:t>76</w:t>
                  </w:r>
                  <w:r w:rsidRPr="002E4D67">
                    <w:rPr>
                      <w:noProof/>
                      <w:webHidden/>
                      <w:lang w:val="en-US"/>
                    </w:rPr>
                    <w:fldChar w:fldCharType="end"/>
                  </w:r>
                </w:hyperlink>
              </w:p>
              <w:p w14:paraId="7C6D0B80" w14:textId="6ABE9B2E" w:rsidR="00101450" w:rsidRPr="00023824" w:rsidRDefault="00101450" w:rsidP="000D6988">
                <w:pPr>
                  <w:pStyle w:val="Textkrper"/>
                  <w:keepNext/>
                  <w:keepLines/>
                  <w:rPr>
                    <w:lang w:val="en-US"/>
                  </w:rPr>
                </w:pPr>
                <w:r w:rsidRPr="002E4D67">
                  <w:rPr>
                    <w:bCs/>
                    <w:lang w:val="en-US"/>
                  </w:rPr>
                  <w:fldChar w:fldCharType="end"/>
                </w:r>
              </w:p>
            </w:sdtContent>
          </w:sdt>
        </w:tc>
      </w:tr>
      <w:tr w:rsidR="00101450" w:rsidRPr="002E4D67" w14:paraId="1CC91393" w14:textId="77777777" w:rsidTr="00707620">
        <w:tc>
          <w:tcPr>
            <w:tcW w:w="1985" w:type="dxa"/>
            <w:tcBorders>
              <w:top w:val="single" w:sz="4" w:space="0" w:color="auto"/>
            </w:tcBorders>
          </w:tcPr>
          <w:p w14:paraId="2D61A5DD" w14:textId="62A7C41E" w:rsidR="00101450" w:rsidRPr="002E4D67" w:rsidRDefault="00101450" w:rsidP="003D4125">
            <w:pPr>
              <w:pStyle w:val="berschrift1"/>
              <w:keepNext w:val="0"/>
              <w:keepLines w:val="0"/>
              <w:rPr>
                <w:lang w:val="en-US"/>
              </w:rPr>
            </w:pPr>
            <w:bookmarkStart w:id="2" w:name="_Toc212017794"/>
            <w:bookmarkStart w:id="3" w:name="_Toc213164118"/>
            <w:bookmarkStart w:id="4" w:name="_Toc213179102"/>
            <w:r w:rsidRPr="002E4D67">
              <w:rPr>
                <w:lang w:val="en-US"/>
              </w:rPr>
              <w:lastRenderedPageBreak/>
              <w:t>01 Date of Notification</w:t>
            </w:r>
            <w:bookmarkEnd w:id="2"/>
            <w:bookmarkEnd w:id="3"/>
            <w:bookmarkEnd w:id="4"/>
          </w:p>
        </w:tc>
        <w:tc>
          <w:tcPr>
            <w:tcW w:w="6371" w:type="dxa"/>
            <w:tcBorders>
              <w:top w:val="single" w:sz="4" w:space="0" w:color="auto"/>
            </w:tcBorders>
          </w:tcPr>
          <w:p w14:paraId="1624CC94" w14:textId="3DB55A5D" w:rsidR="00101450" w:rsidRPr="002E4D67" w:rsidRDefault="00D56308" w:rsidP="003D4125">
            <w:pPr>
              <w:pStyle w:val="Textkrper"/>
              <w:rPr>
                <w:lang w:val="en-US"/>
              </w:rPr>
            </w:pPr>
            <w:r w:rsidRPr="002E4D67">
              <w:rPr>
                <w:lang w:val="en-US"/>
              </w:rPr>
              <w:t>2025</w:t>
            </w:r>
            <w:r w:rsidR="00101450" w:rsidRPr="002E4D67">
              <w:rPr>
                <w:lang w:val="en-US"/>
              </w:rPr>
              <w:t>-</w:t>
            </w:r>
            <w:r w:rsidRPr="002E4D67">
              <w:rPr>
                <w:lang w:val="en-US"/>
              </w:rPr>
              <w:t>11</w:t>
            </w:r>
            <w:r w:rsidR="00101450" w:rsidRPr="002E4D67">
              <w:rPr>
                <w:lang w:val="en-US"/>
              </w:rPr>
              <w:t>-</w:t>
            </w:r>
            <w:r w:rsidR="00A02B47" w:rsidRPr="002E4D67">
              <w:rPr>
                <w:lang w:val="en-US"/>
              </w:rPr>
              <w:t>18</w:t>
            </w:r>
          </w:p>
        </w:tc>
      </w:tr>
      <w:tr w:rsidR="00101450" w:rsidRPr="002E4D67" w14:paraId="4C49B446" w14:textId="77777777" w:rsidTr="00D64090">
        <w:tc>
          <w:tcPr>
            <w:tcW w:w="1985" w:type="dxa"/>
          </w:tcPr>
          <w:p w14:paraId="57D36BF8" w14:textId="55609644" w:rsidR="00101450" w:rsidRPr="002E4D67" w:rsidRDefault="00101450" w:rsidP="003D4125">
            <w:pPr>
              <w:pStyle w:val="berschrift1"/>
              <w:keepNext w:val="0"/>
              <w:keepLines w:val="0"/>
              <w:rPr>
                <w:lang w:val="en-US"/>
              </w:rPr>
            </w:pPr>
            <w:bookmarkStart w:id="5" w:name="_Toc212017796"/>
            <w:bookmarkStart w:id="6" w:name="_Toc213164119"/>
            <w:bookmarkStart w:id="7" w:name="_Toc213179103"/>
            <w:r w:rsidRPr="002E4D67">
              <w:rPr>
                <w:lang w:val="en-US"/>
              </w:rPr>
              <w:t>02 Statement in accordance with Article 6(3) of Regulation (EU) 2023/1114</w:t>
            </w:r>
            <w:bookmarkEnd w:id="5"/>
            <w:bookmarkEnd w:id="6"/>
            <w:bookmarkEnd w:id="7"/>
          </w:p>
        </w:tc>
        <w:tc>
          <w:tcPr>
            <w:tcW w:w="6371" w:type="dxa"/>
          </w:tcPr>
          <w:p w14:paraId="64E1FA3C" w14:textId="61E1DE62" w:rsidR="00101450" w:rsidRPr="002E4D67" w:rsidRDefault="00101450" w:rsidP="003D4125">
            <w:pPr>
              <w:pStyle w:val="Textkrper"/>
              <w:rPr>
                <w:lang w:val="en-US"/>
              </w:rPr>
            </w:pPr>
            <w:r w:rsidRPr="002E4D67">
              <w:rPr>
                <w:lang w:val="en-US"/>
              </w:rPr>
              <w:t>This crypto-asset white paper has not been approved by any competent authority in any Member State of the European Union. The offeror of the crypto-asset is solely responsible for the content of this crypto-asset white paper.</w:t>
            </w:r>
          </w:p>
        </w:tc>
      </w:tr>
      <w:tr w:rsidR="00101450" w:rsidRPr="002E4D67" w14:paraId="06CFD82C" w14:textId="77777777" w:rsidTr="00D64090">
        <w:tc>
          <w:tcPr>
            <w:tcW w:w="1985" w:type="dxa"/>
          </w:tcPr>
          <w:p w14:paraId="0893D155" w14:textId="3035074F" w:rsidR="00101450" w:rsidRPr="002E4D67" w:rsidRDefault="00101450" w:rsidP="003D4125">
            <w:pPr>
              <w:pStyle w:val="berschrift1"/>
              <w:keepNext w:val="0"/>
              <w:keepLines w:val="0"/>
              <w:rPr>
                <w:lang w:val="en-US"/>
              </w:rPr>
            </w:pPr>
            <w:bookmarkStart w:id="8" w:name="_Toc212017798"/>
            <w:bookmarkStart w:id="9" w:name="_Toc213164120"/>
            <w:bookmarkStart w:id="10" w:name="_Toc213179104"/>
            <w:r w:rsidRPr="002E4D67">
              <w:rPr>
                <w:lang w:val="en-US"/>
              </w:rPr>
              <w:t>03 Compliance statement in accordance with Article 6(6) of Regulation (EU) 2023/1114</w:t>
            </w:r>
            <w:bookmarkEnd w:id="8"/>
            <w:bookmarkEnd w:id="9"/>
            <w:bookmarkEnd w:id="10"/>
          </w:p>
        </w:tc>
        <w:tc>
          <w:tcPr>
            <w:tcW w:w="6371" w:type="dxa"/>
          </w:tcPr>
          <w:p w14:paraId="29D26094" w14:textId="1E489004" w:rsidR="00101450" w:rsidRPr="002E4D67" w:rsidRDefault="00101450" w:rsidP="003D4125">
            <w:pPr>
              <w:pStyle w:val="Textkrper"/>
              <w:rPr>
                <w:lang w:val="en-US"/>
              </w:rPr>
            </w:pPr>
            <w:r w:rsidRPr="002E4D67">
              <w:rPr>
                <w:lang w:val="en-US"/>
              </w:rPr>
              <w:t>This crypto-asset white paper complies with Title Il of Regulation (EU) 2023/1114 of the European Parliament and of the Council and, to the best of the knowledge of the management body, the information presented in the crypto-asset white paper is fair, clear and not misleading and the crypto-asset white paper makes no omission likely to affect its import.</w:t>
            </w:r>
          </w:p>
        </w:tc>
      </w:tr>
      <w:tr w:rsidR="00101450" w:rsidRPr="002E4D67" w14:paraId="49B55319" w14:textId="77777777" w:rsidTr="00D64090">
        <w:tc>
          <w:tcPr>
            <w:tcW w:w="1985" w:type="dxa"/>
          </w:tcPr>
          <w:p w14:paraId="440A9F19" w14:textId="127C4471" w:rsidR="00101450" w:rsidRPr="002E4D67" w:rsidRDefault="00101450" w:rsidP="003D4125">
            <w:pPr>
              <w:pStyle w:val="berschrift1"/>
              <w:keepNext w:val="0"/>
              <w:keepLines w:val="0"/>
              <w:rPr>
                <w:lang w:val="en-US"/>
              </w:rPr>
            </w:pPr>
            <w:bookmarkStart w:id="11" w:name="_Toc212017800"/>
            <w:bookmarkStart w:id="12" w:name="_Toc213164121"/>
            <w:bookmarkStart w:id="13" w:name="_Toc213179105"/>
            <w:r w:rsidRPr="002E4D67">
              <w:rPr>
                <w:lang w:val="en-US"/>
              </w:rPr>
              <w:lastRenderedPageBreak/>
              <w:t>04 Statement in accordance with Article 6(5), points (a), (b), (c) of Regulation (EU) 2023/1114</w:t>
            </w:r>
            <w:bookmarkEnd w:id="11"/>
            <w:bookmarkEnd w:id="12"/>
            <w:bookmarkEnd w:id="13"/>
          </w:p>
        </w:tc>
        <w:tc>
          <w:tcPr>
            <w:tcW w:w="6371" w:type="dxa"/>
          </w:tcPr>
          <w:p w14:paraId="66864FEE" w14:textId="77777777" w:rsidR="00101450" w:rsidRPr="002E4D67" w:rsidRDefault="00101450" w:rsidP="003D4125">
            <w:pPr>
              <w:pStyle w:val="Textkrper"/>
              <w:rPr>
                <w:lang w:val="en-US"/>
              </w:rPr>
            </w:pPr>
            <w:r w:rsidRPr="002E4D67">
              <w:rPr>
                <w:lang w:val="en-US"/>
              </w:rPr>
              <w:t>The crypto-asset referred to in this crypto-asset white paper may lose its value in part or in full, may not always be transferable and may not be liquid.</w:t>
            </w:r>
          </w:p>
        </w:tc>
      </w:tr>
      <w:tr w:rsidR="00101450" w:rsidRPr="002E4D67" w14:paraId="19BE8D76" w14:textId="77777777" w:rsidTr="00D64090">
        <w:tc>
          <w:tcPr>
            <w:tcW w:w="1985" w:type="dxa"/>
          </w:tcPr>
          <w:p w14:paraId="126F46C5" w14:textId="297BB95A" w:rsidR="00101450" w:rsidRPr="002E4D67" w:rsidRDefault="00101450" w:rsidP="003D4125">
            <w:pPr>
              <w:pStyle w:val="berschrift1"/>
              <w:keepNext w:val="0"/>
              <w:keepLines w:val="0"/>
              <w:rPr>
                <w:lang w:val="en-US"/>
              </w:rPr>
            </w:pPr>
            <w:bookmarkStart w:id="14" w:name="_Toc212017802"/>
            <w:bookmarkStart w:id="15" w:name="_Toc213164122"/>
            <w:bookmarkStart w:id="16" w:name="_Toc213179106"/>
            <w:r w:rsidRPr="002E4D67">
              <w:rPr>
                <w:lang w:val="en-US"/>
              </w:rPr>
              <w:t>05 Statement in accordance with Article 6(5), point (d) of Regulation (EU) 2023/1114</w:t>
            </w:r>
            <w:bookmarkEnd w:id="14"/>
            <w:bookmarkEnd w:id="15"/>
            <w:bookmarkEnd w:id="16"/>
          </w:p>
        </w:tc>
        <w:tc>
          <w:tcPr>
            <w:tcW w:w="6371" w:type="dxa"/>
          </w:tcPr>
          <w:p w14:paraId="51FAB354" w14:textId="77777777" w:rsidR="00101450" w:rsidRPr="002E4D67" w:rsidRDefault="00101450" w:rsidP="003D4125">
            <w:pPr>
              <w:pStyle w:val="Textkrper"/>
              <w:rPr>
                <w:lang w:val="en-US"/>
              </w:rPr>
            </w:pPr>
            <w:r w:rsidRPr="002E4D67">
              <w:rPr>
                <w:lang w:val="en-US"/>
              </w:rPr>
              <w:t>The utility token referred to in this white paper may not be exchangeable against the good or service promised in the crypto-asset white paper, especially in the case of a failure or discontinuation of the crypto-asset project.</w:t>
            </w:r>
          </w:p>
        </w:tc>
      </w:tr>
      <w:tr w:rsidR="00101450" w:rsidRPr="002E4D67" w14:paraId="0B118AD9" w14:textId="77777777" w:rsidTr="00D64090">
        <w:tc>
          <w:tcPr>
            <w:tcW w:w="1985" w:type="dxa"/>
          </w:tcPr>
          <w:p w14:paraId="11877812" w14:textId="6159C2CF" w:rsidR="00101450" w:rsidRPr="002E4D67" w:rsidRDefault="00101450" w:rsidP="003D4125">
            <w:pPr>
              <w:pStyle w:val="berschrift1"/>
              <w:keepNext w:val="0"/>
              <w:keepLines w:val="0"/>
              <w:rPr>
                <w:lang w:val="en-US"/>
              </w:rPr>
            </w:pPr>
            <w:bookmarkStart w:id="17" w:name="_Toc212017804"/>
            <w:bookmarkStart w:id="18" w:name="_Toc213164123"/>
            <w:bookmarkStart w:id="19" w:name="_Toc213179107"/>
            <w:r w:rsidRPr="002E4D67">
              <w:rPr>
                <w:lang w:val="en-US"/>
              </w:rPr>
              <w:t>06 Statement in accordance with Article 6(5), points (e) and (f) of Regulation (EU) 2023/1114</w:t>
            </w:r>
            <w:bookmarkEnd w:id="17"/>
            <w:bookmarkEnd w:id="18"/>
            <w:bookmarkEnd w:id="19"/>
          </w:p>
        </w:tc>
        <w:tc>
          <w:tcPr>
            <w:tcW w:w="6371" w:type="dxa"/>
          </w:tcPr>
          <w:p w14:paraId="15161432" w14:textId="77777777" w:rsidR="00101450" w:rsidRPr="002E4D67" w:rsidRDefault="00101450" w:rsidP="003D4125">
            <w:pPr>
              <w:pStyle w:val="Textkrper"/>
              <w:rPr>
                <w:lang w:val="en-US"/>
              </w:rPr>
            </w:pPr>
            <w:r w:rsidRPr="002E4D67">
              <w:rPr>
                <w:lang w:val="en-US"/>
              </w:rPr>
              <w:t>The crypto-asset referred to in this white paper is not covered by the investor compensation schemes under Directive 97/9/EC of the European Parliament and of the Council or the deposit guarantee schemes under Directive 2014/49/EU of the European Parliament and of the Council.</w:t>
            </w:r>
          </w:p>
        </w:tc>
      </w:tr>
      <w:tr w:rsidR="00BD4270" w:rsidRPr="002E4D67" w14:paraId="2A5967E5" w14:textId="77777777" w:rsidTr="005F6BB4">
        <w:tc>
          <w:tcPr>
            <w:tcW w:w="8356" w:type="dxa"/>
            <w:gridSpan w:val="2"/>
          </w:tcPr>
          <w:p w14:paraId="3B50EB23" w14:textId="2AA8C163" w:rsidR="00BD4270" w:rsidRPr="002E4D67" w:rsidRDefault="00BD4270" w:rsidP="003D4125">
            <w:pPr>
              <w:pStyle w:val="Textkrper"/>
              <w:rPr>
                <w:b/>
                <w:bCs/>
                <w:lang w:val="en-US"/>
              </w:rPr>
            </w:pPr>
            <w:bookmarkStart w:id="20" w:name="_Toc213164124"/>
            <w:r w:rsidRPr="002E4D67">
              <w:rPr>
                <w:b/>
                <w:bCs/>
                <w:lang w:val="en-US"/>
              </w:rPr>
              <w:t>SUMMARY</w:t>
            </w:r>
            <w:bookmarkEnd w:id="20"/>
          </w:p>
        </w:tc>
      </w:tr>
      <w:tr w:rsidR="00101450" w:rsidRPr="002E4D67" w14:paraId="756721A6" w14:textId="77777777" w:rsidTr="00D64090">
        <w:tc>
          <w:tcPr>
            <w:tcW w:w="1985" w:type="dxa"/>
          </w:tcPr>
          <w:p w14:paraId="6A386B03" w14:textId="13B1D68F" w:rsidR="00101450" w:rsidRPr="002E4D67" w:rsidRDefault="00101450" w:rsidP="003D4125">
            <w:pPr>
              <w:pStyle w:val="berschrift1"/>
              <w:keepNext w:val="0"/>
              <w:keepLines w:val="0"/>
              <w:rPr>
                <w:lang w:val="en-US"/>
              </w:rPr>
            </w:pPr>
            <w:bookmarkStart w:id="21" w:name="_Toc212017807"/>
            <w:bookmarkStart w:id="22" w:name="_Toc213164125"/>
            <w:bookmarkStart w:id="23" w:name="_Toc213179108"/>
            <w:r w:rsidRPr="002E4D67">
              <w:rPr>
                <w:lang w:val="en-US"/>
              </w:rPr>
              <w:t>07 Warning in accordance with Article 6(7), second subparagraph, of Regulation (EU) 2023/1114</w:t>
            </w:r>
            <w:bookmarkEnd w:id="21"/>
            <w:bookmarkEnd w:id="22"/>
            <w:bookmarkEnd w:id="23"/>
          </w:p>
        </w:tc>
        <w:tc>
          <w:tcPr>
            <w:tcW w:w="6371" w:type="dxa"/>
          </w:tcPr>
          <w:p w14:paraId="116E4482" w14:textId="77777777" w:rsidR="00101450" w:rsidRPr="002E4D67" w:rsidRDefault="00101450" w:rsidP="003D4125">
            <w:pPr>
              <w:pStyle w:val="Textkrper"/>
              <w:rPr>
                <w:lang w:val="en-US"/>
              </w:rPr>
            </w:pPr>
            <w:r w:rsidRPr="002E4D67">
              <w:rPr>
                <w:lang w:val="en-US"/>
              </w:rPr>
              <w:t>Warning</w:t>
            </w:r>
          </w:p>
          <w:p w14:paraId="4E46F0B7" w14:textId="77777777" w:rsidR="00101450" w:rsidRPr="002E4D67" w:rsidRDefault="00101450" w:rsidP="003D4125">
            <w:pPr>
              <w:pStyle w:val="Textkrper"/>
              <w:rPr>
                <w:rFonts w:cstheme="minorHAnsi"/>
                <w:lang w:val="en-US"/>
              </w:rPr>
            </w:pPr>
            <w:r w:rsidRPr="002E4D67">
              <w:rPr>
                <w:rFonts w:cstheme="minorHAnsi"/>
                <w:lang w:val="en-US"/>
              </w:rPr>
              <w:t>This summary should be read as an introduction to the crypto-asset white paper.</w:t>
            </w:r>
          </w:p>
          <w:p w14:paraId="128D6CE2" w14:textId="77777777" w:rsidR="00101450" w:rsidRPr="002E4D67" w:rsidRDefault="00101450" w:rsidP="003D4125">
            <w:pPr>
              <w:pStyle w:val="Textkrper"/>
              <w:rPr>
                <w:rFonts w:cstheme="minorHAnsi"/>
                <w:lang w:val="en-US"/>
              </w:rPr>
            </w:pPr>
            <w:r w:rsidRPr="002E4D67">
              <w:rPr>
                <w:rFonts w:cstheme="minorHAnsi"/>
                <w:lang w:val="en-US"/>
              </w:rPr>
              <w:t>The prospective holder should base any decision to purchase this crypto-asset on the content of the crypto-asset white paper as a whole and not on the summary alone.</w:t>
            </w:r>
          </w:p>
          <w:p w14:paraId="5696C9C1" w14:textId="77777777" w:rsidR="00101450" w:rsidRPr="002E4D67" w:rsidRDefault="00101450" w:rsidP="003D4125">
            <w:pPr>
              <w:pStyle w:val="Textkrper"/>
              <w:rPr>
                <w:rFonts w:cstheme="minorHAnsi"/>
                <w:lang w:val="en-US"/>
              </w:rPr>
            </w:pPr>
            <w:r w:rsidRPr="002E4D67">
              <w:rPr>
                <w:rFonts w:cstheme="minorHAnsi"/>
                <w:lang w:val="en-US"/>
              </w:rPr>
              <w:t>The offer to the public of this crypto-asset does not constitute an offer or solicitation to purchase financial instruments and any such offer or solicitation can be made only by means of a prospectus or other offer documents pursuant to the applicable national law.</w:t>
            </w:r>
          </w:p>
          <w:p w14:paraId="1354C113" w14:textId="77777777" w:rsidR="00101450" w:rsidRDefault="00101450" w:rsidP="003D4125">
            <w:pPr>
              <w:pStyle w:val="Textkrper"/>
              <w:rPr>
                <w:rFonts w:cstheme="minorHAnsi"/>
                <w:lang w:val="en-US"/>
              </w:rPr>
            </w:pPr>
            <w:r w:rsidRPr="002E4D67">
              <w:rPr>
                <w:rFonts w:cstheme="minorHAnsi"/>
                <w:lang w:val="en-US"/>
              </w:rPr>
              <w:t>This crypto-asset white paper does not constitute a prospectus as referred to in Regulation (EU) 2017/1129 of the European Parliament and of the Council or any other offer document pursuant to Union or national law.</w:t>
            </w:r>
          </w:p>
          <w:p w14:paraId="71C6DF08" w14:textId="7F994F84" w:rsidR="00627149" w:rsidRPr="002E4D67" w:rsidRDefault="00627149" w:rsidP="00627149">
            <w:pPr>
              <w:pStyle w:val="Textkrper"/>
              <w:jc w:val="left"/>
              <w:rPr>
                <w:rFonts w:cstheme="minorHAnsi"/>
                <w:lang w:val="en-US"/>
              </w:rPr>
            </w:pPr>
            <w:r>
              <w:rPr>
                <w:rStyle w:val="Fett"/>
              </w:rPr>
              <w:t>Note on project financing:</w:t>
            </w:r>
            <w:r>
              <w:br/>
              <w:t xml:space="preserve">The 52-metre WYND superyacht does not yet exist. Its construction </w:t>
            </w:r>
            <w:r>
              <w:lastRenderedPageBreak/>
              <w:t>will be financed exclusively through WYND Bonds issued by MD Capital GmbH (the parent company of WYND Capital GmbH). The $WYND Utility Token does not finance the yacht and provides no ownership, repayment, or profit rights; it functions solely as a digital access right for future WYND services.</w:t>
            </w:r>
          </w:p>
        </w:tc>
      </w:tr>
      <w:tr w:rsidR="00101450" w:rsidRPr="002E4D67" w14:paraId="0B9F8EF5" w14:textId="77777777" w:rsidTr="00D64090">
        <w:tc>
          <w:tcPr>
            <w:tcW w:w="1985" w:type="dxa"/>
          </w:tcPr>
          <w:p w14:paraId="08A38887" w14:textId="29172355" w:rsidR="00101450" w:rsidRPr="002E4D67" w:rsidRDefault="00101450" w:rsidP="003D4125">
            <w:pPr>
              <w:pStyle w:val="berschrift1"/>
              <w:keepNext w:val="0"/>
              <w:keepLines w:val="0"/>
              <w:rPr>
                <w:lang w:val="en-US"/>
              </w:rPr>
            </w:pPr>
            <w:bookmarkStart w:id="24" w:name="_Toc212017809"/>
            <w:bookmarkStart w:id="25" w:name="_Toc213164126"/>
            <w:bookmarkStart w:id="26" w:name="_Toc213179109"/>
            <w:r w:rsidRPr="002E4D67">
              <w:rPr>
                <w:lang w:val="en-US"/>
              </w:rPr>
              <w:lastRenderedPageBreak/>
              <w:t>08 Characteristics of the crypto-asset</w:t>
            </w:r>
            <w:bookmarkEnd w:id="24"/>
            <w:bookmarkEnd w:id="25"/>
            <w:bookmarkEnd w:id="26"/>
            <w:r w:rsidRPr="002E4D67">
              <w:rPr>
                <w:lang w:val="en-US"/>
              </w:rPr>
              <w:t xml:space="preserve"> </w:t>
            </w:r>
          </w:p>
        </w:tc>
        <w:tc>
          <w:tcPr>
            <w:tcW w:w="6371" w:type="dxa"/>
          </w:tcPr>
          <w:p w14:paraId="062F9EA6" w14:textId="0BEAE070" w:rsidR="002E4D67" w:rsidRPr="002E4D67" w:rsidRDefault="002E4D67" w:rsidP="002E4D67">
            <w:pPr>
              <w:pStyle w:val="StandardWeb"/>
              <w:jc w:val="left"/>
              <w:rPr>
                <w:lang w:val="en-US"/>
              </w:rPr>
            </w:pPr>
            <w:r w:rsidRPr="002E4D67">
              <w:rPr>
                <w:lang w:val="en-US"/>
              </w:rPr>
              <w:t xml:space="preserve">The $WYND Utility Token is issued by </w:t>
            </w:r>
            <w:r w:rsidRPr="002E4D67">
              <w:rPr>
                <w:rStyle w:val="Fett"/>
                <w:lang w:val="en-US"/>
              </w:rPr>
              <w:t>WYND Capital GmbH</w:t>
            </w:r>
            <w:r w:rsidRPr="002E4D67">
              <w:rPr>
                <w:lang w:val="en-US"/>
              </w:rPr>
              <w:t>, Schöne Aussicht 24, 22085 Hamburg, Germany (LEI: 5299009TAO6KQPMSWG48).</w:t>
            </w:r>
            <w:r w:rsidRPr="002E4D67">
              <w:rPr>
                <w:lang w:val="en-US"/>
              </w:rPr>
              <w:br/>
              <w:t xml:space="preserve">It is a </w:t>
            </w:r>
            <w:r w:rsidRPr="002E4D67">
              <w:rPr>
                <w:rStyle w:val="Fett"/>
                <w:lang w:val="en-US"/>
              </w:rPr>
              <w:t>MiCAR-compliant utility token</w:t>
            </w:r>
            <w:r w:rsidRPr="002E4D67">
              <w:rPr>
                <w:lang w:val="en-US"/>
              </w:rPr>
              <w:t xml:space="preserve">, designed exclusively as a </w:t>
            </w:r>
            <w:r w:rsidRPr="002E4D67">
              <w:rPr>
                <w:rStyle w:val="Fett"/>
                <w:lang w:val="en-US"/>
              </w:rPr>
              <w:t>digital access and booking instrument</w:t>
            </w:r>
            <w:r w:rsidRPr="002E4D67">
              <w:rPr>
                <w:lang w:val="en-US"/>
              </w:rPr>
              <w:t xml:space="preserve"> for services provided by WYND Capital GmbH (“WYND Services”).</w:t>
            </w:r>
          </w:p>
          <w:p w14:paraId="6BE600AC" w14:textId="77777777" w:rsidR="002E4D67" w:rsidRPr="002E4D67" w:rsidRDefault="002E4D67" w:rsidP="002E4D67">
            <w:pPr>
              <w:pStyle w:val="StandardWeb"/>
              <w:rPr>
                <w:lang w:val="en-US"/>
              </w:rPr>
            </w:pPr>
            <w:r w:rsidRPr="002E4D67">
              <w:rPr>
                <w:lang w:val="en-US"/>
              </w:rPr>
              <w:t>The token grants access to a broad and expanding ecosystem, including:</w:t>
            </w:r>
          </w:p>
          <w:p w14:paraId="71B4B36D" w14:textId="6ED4AFF0" w:rsidR="002E4D67" w:rsidRPr="002E4D67" w:rsidRDefault="002E4D67" w:rsidP="002E4D67">
            <w:pPr>
              <w:pStyle w:val="StandardWeb"/>
              <w:numPr>
                <w:ilvl w:val="0"/>
                <w:numId w:val="74"/>
              </w:numPr>
              <w:overflowPunct/>
              <w:autoSpaceDE/>
              <w:autoSpaceDN/>
              <w:adjustRightInd/>
              <w:spacing w:before="100" w:beforeAutospacing="1" w:after="100" w:afterAutospacing="1" w:line="240" w:lineRule="auto"/>
              <w:jc w:val="left"/>
              <w:textAlignment w:val="auto"/>
              <w:rPr>
                <w:lang w:val="en-US"/>
              </w:rPr>
            </w:pPr>
            <w:r w:rsidRPr="002E4D67">
              <w:rPr>
                <w:rStyle w:val="Fett"/>
                <w:lang w:val="en-US"/>
              </w:rPr>
              <w:t>WYND Discovery Weeks</w:t>
            </w:r>
            <w:r w:rsidRPr="002E4D67">
              <w:rPr>
                <w:lang w:val="en-US"/>
              </w:rPr>
              <w:br/>
              <w:t>Boutique voyages in the Red Sea with up to 22 guests and 13 crew (available immediately)</w:t>
            </w:r>
          </w:p>
          <w:p w14:paraId="3C5460D9" w14:textId="6B82C756" w:rsidR="002E4D67" w:rsidRPr="002E4D67" w:rsidRDefault="002E4D67" w:rsidP="002E4D67">
            <w:pPr>
              <w:pStyle w:val="StandardWeb"/>
              <w:numPr>
                <w:ilvl w:val="0"/>
                <w:numId w:val="74"/>
              </w:numPr>
              <w:overflowPunct/>
              <w:autoSpaceDE/>
              <w:autoSpaceDN/>
              <w:adjustRightInd/>
              <w:spacing w:before="100" w:beforeAutospacing="1" w:after="100" w:afterAutospacing="1" w:line="240" w:lineRule="auto"/>
              <w:jc w:val="left"/>
              <w:textAlignment w:val="auto"/>
              <w:rPr>
                <w:lang w:val="en-US"/>
              </w:rPr>
            </w:pPr>
            <w:r w:rsidRPr="002E4D67">
              <w:rPr>
                <w:rStyle w:val="Fett"/>
                <w:lang w:val="en-US"/>
              </w:rPr>
              <w:t>WYND Yacht Weeks (planed from 2029)</w:t>
            </w:r>
            <w:r w:rsidRPr="002E4D67">
              <w:rPr>
                <w:lang w:val="en-US"/>
              </w:rPr>
              <w:br/>
              <w:t>Experiences aboard the planned 52-metre WYND Superyacht (12 guests, 11 crew), redeemable once the vessel becomes operational</w:t>
            </w:r>
          </w:p>
          <w:p w14:paraId="0C142F3D" w14:textId="77777777" w:rsidR="002E4D67" w:rsidRPr="002E4D67" w:rsidRDefault="002E4D67" w:rsidP="002E4D67">
            <w:pPr>
              <w:pStyle w:val="StandardWeb"/>
              <w:numPr>
                <w:ilvl w:val="0"/>
                <w:numId w:val="74"/>
              </w:numPr>
              <w:overflowPunct/>
              <w:autoSpaceDE/>
              <w:autoSpaceDN/>
              <w:adjustRightInd/>
              <w:spacing w:before="100" w:beforeAutospacing="1" w:after="100" w:afterAutospacing="1" w:line="240" w:lineRule="auto"/>
              <w:jc w:val="left"/>
              <w:textAlignment w:val="auto"/>
              <w:rPr>
                <w:lang w:val="en-US"/>
              </w:rPr>
            </w:pPr>
            <w:r w:rsidRPr="002E4D67">
              <w:rPr>
                <w:rStyle w:val="Fett"/>
                <w:lang w:val="en-US"/>
              </w:rPr>
              <w:t>WYND Concierge &amp; Experiences</w:t>
            </w:r>
            <w:r w:rsidRPr="002E4D67">
              <w:rPr>
                <w:lang w:val="en-US"/>
              </w:rPr>
              <w:br/>
              <w:t>Curated travel, lifestyle, event and business services</w:t>
            </w:r>
          </w:p>
          <w:p w14:paraId="7D64F8CB" w14:textId="77777777" w:rsidR="002E4D67" w:rsidRPr="002E4D67" w:rsidRDefault="002E4D67" w:rsidP="002E4D67">
            <w:pPr>
              <w:pStyle w:val="StandardWeb"/>
              <w:numPr>
                <w:ilvl w:val="0"/>
                <w:numId w:val="74"/>
              </w:numPr>
              <w:overflowPunct/>
              <w:autoSpaceDE/>
              <w:autoSpaceDN/>
              <w:adjustRightInd/>
              <w:spacing w:before="100" w:beforeAutospacing="1" w:after="100" w:afterAutospacing="1" w:line="240" w:lineRule="auto"/>
              <w:jc w:val="left"/>
              <w:textAlignment w:val="auto"/>
              <w:rPr>
                <w:lang w:val="en-US"/>
              </w:rPr>
            </w:pPr>
            <w:r w:rsidRPr="002E4D67">
              <w:rPr>
                <w:rStyle w:val="Fett"/>
                <w:lang w:val="en-US"/>
              </w:rPr>
              <w:t>Future mobility services</w:t>
            </w:r>
            <w:r w:rsidRPr="002E4D67">
              <w:rPr>
                <w:lang w:val="en-US"/>
              </w:rPr>
              <w:br/>
              <w:t>such as WYND Jet &amp; WYND Heli, available once launched</w:t>
            </w:r>
          </w:p>
          <w:p w14:paraId="25A98872" w14:textId="1585B6F3" w:rsidR="002E4D67" w:rsidRPr="002E4D67" w:rsidRDefault="002E4D67" w:rsidP="002E4D67">
            <w:pPr>
              <w:pStyle w:val="berschrift3"/>
              <w:numPr>
                <w:ilvl w:val="0"/>
                <w:numId w:val="0"/>
              </w:numPr>
              <w:ind w:left="794" w:hanging="794"/>
              <w:rPr>
                <w:lang w:val="en-US"/>
              </w:rPr>
            </w:pPr>
            <w:r w:rsidRPr="002E4D67">
              <w:rPr>
                <w:rStyle w:val="Fett"/>
                <w:lang w:val="en-US"/>
              </w:rPr>
              <w:t>Important early disclosure:</w:t>
            </w:r>
          </w:p>
          <w:p w14:paraId="73E44B43" w14:textId="77777777" w:rsidR="002E4D67" w:rsidRPr="002E4D67" w:rsidRDefault="002E4D67" w:rsidP="002E4D67">
            <w:pPr>
              <w:pStyle w:val="StandardWeb"/>
              <w:rPr>
                <w:lang w:val="en-US"/>
              </w:rPr>
            </w:pPr>
            <w:r w:rsidRPr="002E4D67">
              <w:rPr>
                <w:lang w:val="en-US"/>
              </w:rPr>
              <w:t xml:space="preserve">The 52-metre WYND Superyacht </w:t>
            </w:r>
            <w:r w:rsidRPr="002E4D67">
              <w:rPr>
                <w:rStyle w:val="Fett"/>
                <w:lang w:val="en-US"/>
              </w:rPr>
              <w:t>does not yet exist</w:t>
            </w:r>
            <w:r w:rsidRPr="002E4D67">
              <w:rPr>
                <w:lang w:val="en-US"/>
              </w:rPr>
              <w:t>.</w:t>
            </w:r>
            <w:r w:rsidRPr="002E4D67">
              <w:rPr>
                <w:lang w:val="en-US"/>
              </w:rPr>
              <w:br/>
              <w:t xml:space="preserve">Its construction is </w:t>
            </w:r>
            <w:r w:rsidRPr="002E4D67">
              <w:rPr>
                <w:rStyle w:val="Fett"/>
                <w:lang w:val="en-US"/>
              </w:rPr>
              <w:t>not</w:t>
            </w:r>
            <w:r w:rsidRPr="002E4D67">
              <w:rPr>
                <w:lang w:val="en-US"/>
              </w:rPr>
              <w:t xml:space="preserve"> financed through the WYND Utility Token.</w:t>
            </w:r>
            <w:r w:rsidRPr="002E4D67">
              <w:rPr>
                <w:lang w:val="en-US"/>
              </w:rPr>
              <w:br/>
              <w:t xml:space="preserve">Instead, the yacht is financed </w:t>
            </w:r>
            <w:r w:rsidRPr="002E4D67">
              <w:rPr>
                <w:rStyle w:val="Fett"/>
                <w:lang w:val="en-US"/>
              </w:rPr>
              <w:t>exclusively</w:t>
            </w:r>
            <w:r w:rsidRPr="002E4D67">
              <w:rPr>
                <w:lang w:val="en-US"/>
              </w:rPr>
              <w:t xml:space="preserve"> through the regulated </w:t>
            </w:r>
            <w:r w:rsidRPr="002E4D67">
              <w:rPr>
                <w:rStyle w:val="Fett"/>
                <w:lang w:val="en-US"/>
              </w:rPr>
              <w:t>WYND Bonds</w:t>
            </w:r>
            <w:r w:rsidRPr="002E4D67">
              <w:rPr>
                <w:lang w:val="en-US"/>
              </w:rPr>
              <w:t xml:space="preserve"> issued by </w:t>
            </w:r>
            <w:r w:rsidRPr="002E4D67">
              <w:rPr>
                <w:rStyle w:val="Fett"/>
                <w:lang w:val="en-US"/>
              </w:rPr>
              <w:t>MD Capital GmbH</w:t>
            </w:r>
            <w:r w:rsidRPr="002E4D67">
              <w:rPr>
                <w:lang w:val="en-US"/>
              </w:rPr>
              <w:t>, the parent company of WYND Capital GmbH.</w:t>
            </w:r>
          </w:p>
          <w:p w14:paraId="18283EFB" w14:textId="77777777" w:rsidR="002E4D67" w:rsidRPr="002E4D67" w:rsidRDefault="002E4D67" w:rsidP="002E4D67">
            <w:pPr>
              <w:pStyle w:val="StandardWeb"/>
              <w:rPr>
                <w:lang w:val="en-US"/>
              </w:rPr>
            </w:pPr>
            <w:r w:rsidRPr="002E4D67">
              <w:rPr>
                <w:lang w:val="en-US"/>
              </w:rPr>
              <w:t xml:space="preserve">Proceeds from the $WYND token sale represent </w:t>
            </w:r>
            <w:r w:rsidRPr="002E4D67">
              <w:rPr>
                <w:rStyle w:val="Fett"/>
                <w:lang w:val="en-US"/>
              </w:rPr>
              <w:t>prepayment for services</w:t>
            </w:r>
            <w:r w:rsidRPr="002E4D67">
              <w:rPr>
                <w:lang w:val="en-US"/>
              </w:rPr>
              <w:t xml:space="preserve">, not investment capital, and do </w:t>
            </w:r>
            <w:r w:rsidRPr="002E4D67">
              <w:rPr>
                <w:rStyle w:val="Fett"/>
                <w:lang w:val="en-US"/>
              </w:rPr>
              <w:t>not</w:t>
            </w:r>
            <w:r w:rsidRPr="002E4D67">
              <w:rPr>
                <w:lang w:val="en-US"/>
              </w:rPr>
              <w:t xml:space="preserve"> create:</w:t>
            </w:r>
          </w:p>
          <w:p w14:paraId="5B04DD67" w14:textId="77777777" w:rsidR="002E4D67" w:rsidRPr="002E4D67" w:rsidRDefault="002E4D67" w:rsidP="002E4D67">
            <w:pPr>
              <w:pStyle w:val="StandardWeb"/>
              <w:numPr>
                <w:ilvl w:val="0"/>
                <w:numId w:val="75"/>
              </w:numPr>
              <w:overflowPunct/>
              <w:autoSpaceDE/>
              <w:autoSpaceDN/>
              <w:adjustRightInd/>
              <w:spacing w:before="100" w:beforeAutospacing="1" w:after="100" w:afterAutospacing="1" w:line="240" w:lineRule="auto"/>
              <w:jc w:val="left"/>
              <w:textAlignment w:val="auto"/>
              <w:rPr>
                <w:lang w:val="en-US"/>
              </w:rPr>
            </w:pPr>
            <w:r w:rsidRPr="002E4D67">
              <w:rPr>
                <w:lang w:val="en-US"/>
              </w:rPr>
              <w:t>ownership rights,</w:t>
            </w:r>
          </w:p>
          <w:p w14:paraId="64AE976D" w14:textId="77777777" w:rsidR="002E4D67" w:rsidRPr="002E4D67" w:rsidRDefault="002E4D67" w:rsidP="002E4D67">
            <w:pPr>
              <w:pStyle w:val="StandardWeb"/>
              <w:numPr>
                <w:ilvl w:val="0"/>
                <w:numId w:val="75"/>
              </w:numPr>
              <w:overflowPunct/>
              <w:autoSpaceDE/>
              <w:autoSpaceDN/>
              <w:adjustRightInd/>
              <w:spacing w:before="100" w:beforeAutospacing="1" w:after="100" w:afterAutospacing="1" w:line="240" w:lineRule="auto"/>
              <w:jc w:val="left"/>
              <w:textAlignment w:val="auto"/>
              <w:rPr>
                <w:lang w:val="en-US"/>
              </w:rPr>
            </w:pPr>
            <w:r w:rsidRPr="002E4D67">
              <w:rPr>
                <w:lang w:val="en-US"/>
              </w:rPr>
              <w:t>financial claims,</w:t>
            </w:r>
          </w:p>
          <w:p w14:paraId="18F416BA" w14:textId="77777777" w:rsidR="002E4D67" w:rsidRPr="002E4D67" w:rsidRDefault="002E4D67" w:rsidP="002E4D67">
            <w:pPr>
              <w:pStyle w:val="StandardWeb"/>
              <w:numPr>
                <w:ilvl w:val="0"/>
                <w:numId w:val="75"/>
              </w:numPr>
              <w:overflowPunct/>
              <w:autoSpaceDE/>
              <w:autoSpaceDN/>
              <w:adjustRightInd/>
              <w:spacing w:before="100" w:beforeAutospacing="1" w:after="100" w:afterAutospacing="1" w:line="240" w:lineRule="auto"/>
              <w:jc w:val="left"/>
              <w:textAlignment w:val="auto"/>
              <w:rPr>
                <w:lang w:val="en-US"/>
              </w:rPr>
            </w:pPr>
            <w:r w:rsidRPr="002E4D67">
              <w:rPr>
                <w:lang w:val="en-US"/>
              </w:rPr>
              <w:t>repayment claims,</w:t>
            </w:r>
          </w:p>
          <w:p w14:paraId="6718A726" w14:textId="77777777" w:rsidR="002E4D67" w:rsidRPr="002E4D67" w:rsidRDefault="002E4D67" w:rsidP="002E4D67">
            <w:pPr>
              <w:pStyle w:val="StandardWeb"/>
              <w:numPr>
                <w:ilvl w:val="0"/>
                <w:numId w:val="75"/>
              </w:numPr>
              <w:overflowPunct/>
              <w:autoSpaceDE/>
              <w:autoSpaceDN/>
              <w:adjustRightInd/>
              <w:spacing w:before="100" w:beforeAutospacing="1" w:after="100" w:afterAutospacing="1" w:line="240" w:lineRule="auto"/>
              <w:jc w:val="left"/>
              <w:textAlignment w:val="auto"/>
              <w:rPr>
                <w:lang w:val="en-US"/>
              </w:rPr>
            </w:pPr>
            <w:r w:rsidRPr="002E4D67">
              <w:rPr>
                <w:lang w:val="en-US"/>
              </w:rPr>
              <w:lastRenderedPageBreak/>
              <w:t>rights to future revenues,</w:t>
            </w:r>
          </w:p>
          <w:p w14:paraId="37D144E2" w14:textId="77777777" w:rsidR="002E4D67" w:rsidRPr="002E4D67" w:rsidRDefault="002E4D67" w:rsidP="002E4D67">
            <w:pPr>
              <w:pStyle w:val="StandardWeb"/>
              <w:numPr>
                <w:ilvl w:val="0"/>
                <w:numId w:val="75"/>
              </w:numPr>
              <w:overflowPunct/>
              <w:autoSpaceDE/>
              <w:autoSpaceDN/>
              <w:adjustRightInd/>
              <w:spacing w:before="100" w:beforeAutospacing="1" w:after="100" w:afterAutospacing="1" w:line="240" w:lineRule="auto"/>
              <w:jc w:val="left"/>
              <w:textAlignment w:val="auto"/>
              <w:rPr>
                <w:lang w:val="en-US"/>
              </w:rPr>
            </w:pPr>
            <w:r w:rsidRPr="002E4D67">
              <w:rPr>
                <w:lang w:val="en-US"/>
              </w:rPr>
              <w:t>profit participation,</w:t>
            </w:r>
          </w:p>
          <w:p w14:paraId="724C510A" w14:textId="77777777" w:rsidR="002E4D67" w:rsidRPr="002E4D67" w:rsidRDefault="002E4D67" w:rsidP="002E4D67">
            <w:pPr>
              <w:pStyle w:val="StandardWeb"/>
              <w:numPr>
                <w:ilvl w:val="0"/>
                <w:numId w:val="75"/>
              </w:numPr>
              <w:overflowPunct/>
              <w:autoSpaceDE/>
              <w:autoSpaceDN/>
              <w:adjustRightInd/>
              <w:spacing w:before="100" w:beforeAutospacing="1" w:after="100" w:afterAutospacing="1" w:line="240" w:lineRule="auto"/>
              <w:jc w:val="left"/>
              <w:textAlignment w:val="auto"/>
              <w:rPr>
                <w:lang w:val="en-US"/>
              </w:rPr>
            </w:pPr>
            <w:r w:rsidRPr="002E4D67">
              <w:rPr>
                <w:lang w:val="en-US"/>
              </w:rPr>
              <w:t>or any entitlement related to the yacht or the WYND Bonds.</w:t>
            </w:r>
          </w:p>
          <w:p w14:paraId="74CDDCA6" w14:textId="77777777" w:rsidR="002E4D67" w:rsidRPr="002E4D67" w:rsidRDefault="002E4D67" w:rsidP="002E4D67">
            <w:pPr>
              <w:pStyle w:val="StandardWeb"/>
              <w:rPr>
                <w:lang w:val="en-US"/>
              </w:rPr>
            </w:pPr>
            <w:r w:rsidRPr="002E4D67">
              <w:rPr>
                <w:lang w:val="en-US"/>
              </w:rPr>
              <w:t xml:space="preserve">The token remains a </w:t>
            </w:r>
            <w:r w:rsidRPr="002E4D67">
              <w:rPr>
                <w:rStyle w:val="Fett"/>
                <w:lang w:val="en-US"/>
              </w:rPr>
              <w:t>pure utility token</w:t>
            </w:r>
            <w:r w:rsidRPr="002E4D67">
              <w:rPr>
                <w:lang w:val="en-US"/>
              </w:rPr>
              <w:t xml:space="preserve"> under MiCAR.</w:t>
            </w:r>
          </w:p>
          <w:p w14:paraId="69A10675" w14:textId="7FD5F797" w:rsidR="002E4D67" w:rsidRPr="002E4D67" w:rsidRDefault="002E4D67" w:rsidP="002E4D67">
            <w:pPr>
              <w:pStyle w:val="berschrift2"/>
              <w:numPr>
                <w:ilvl w:val="0"/>
                <w:numId w:val="0"/>
              </w:numPr>
              <w:rPr>
                <w:lang w:val="en-US"/>
              </w:rPr>
            </w:pPr>
            <w:r w:rsidRPr="002E4D67">
              <w:rPr>
                <w:rStyle w:val="Fett"/>
                <w:b/>
                <w:bCs/>
                <w:lang w:val="en-US"/>
              </w:rPr>
              <w:t>Rights and Obligations</w:t>
            </w:r>
          </w:p>
          <w:p w14:paraId="6181A9BE" w14:textId="7F4A0950" w:rsidR="002E4D67" w:rsidRPr="002E4D67" w:rsidRDefault="002E4D67" w:rsidP="002E4D67">
            <w:pPr>
              <w:pStyle w:val="berschrift3"/>
              <w:numPr>
                <w:ilvl w:val="0"/>
                <w:numId w:val="0"/>
              </w:numPr>
              <w:ind w:left="794" w:hanging="794"/>
              <w:rPr>
                <w:lang w:val="en-US"/>
              </w:rPr>
            </w:pPr>
            <w:r>
              <w:rPr>
                <w:rStyle w:val="Fett"/>
                <w:lang w:val="en-US"/>
              </w:rPr>
              <w:t xml:space="preserve">1. </w:t>
            </w:r>
            <w:r w:rsidRPr="002E4D67">
              <w:rPr>
                <w:rStyle w:val="Fett"/>
                <w:lang w:val="en-US"/>
              </w:rPr>
              <w:t>Rights of Token Holders</w:t>
            </w:r>
          </w:p>
          <w:p w14:paraId="4659C5CD" w14:textId="77777777" w:rsidR="002E4D67" w:rsidRPr="002E4D67" w:rsidRDefault="002E4D67" w:rsidP="002E4D67">
            <w:pPr>
              <w:pStyle w:val="StandardWeb"/>
              <w:rPr>
                <w:lang w:val="en-US"/>
              </w:rPr>
            </w:pPr>
            <w:r w:rsidRPr="002E4D67">
              <w:rPr>
                <w:lang w:val="en-US"/>
              </w:rPr>
              <w:t>Holders of $WYND Tokens are entitled to:</w:t>
            </w:r>
          </w:p>
          <w:p w14:paraId="7D0612E6" w14:textId="4EBD81FC" w:rsidR="002E4D67" w:rsidRPr="002E4D67" w:rsidRDefault="002E4D67" w:rsidP="002E4D67">
            <w:pPr>
              <w:pStyle w:val="berschrift3"/>
              <w:numPr>
                <w:ilvl w:val="0"/>
                <w:numId w:val="0"/>
              </w:numPr>
              <w:ind w:left="794" w:hanging="794"/>
              <w:rPr>
                <w:lang w:val="en-US"/>
              </w:rPr>
            </w:pPr>
            <w:r w:rsidRPr="002E4D67">
              <w:rPr>
                <w:rStyle w:val="Fett"/>
                <w:b w:val="0"/>
                <w:bCs/>
                <w:lang w:val="en-US"/>
              </w:rPr>
              <w:t>(a)</w:t>
            </w:r>
            <w:r>
              <w:rPr>
                <w:rStyle w:val="Fett"/>
                <w:b w:val="0"/>
                <w:bCs/>
                <w:lang w:val="en-US"/>
              </w:rPr>
              <w:t xml:space="preserve"> </w:t>
            </w:r>
            <w:r w:rsidRPr="002E4D67">
              <w:rPr>
                <w:rStyle w:val="Fett"/>
                <w:b w:val="0"/>
                <w:bCs/>
                <w:lang w:val="en-US"/>
              </w:rPr>
              <w:t>Book WYND Services using tokens</w:t>
            </w:r>
          </w:p>
          <w:p w14:paraId="6D10020E" w14:textId="77777777" w:rsidR="002E4D67" w:rsidRPr="002E4D67" w:rsidRDefault="002E4D67" w:rsidP="002E4D67">
            <w:pPr>
              <w:pStyle w:val="StandardWeb"/>
              <w:rPr>
                <w:lang w:val="en-US"/>
              </w:rPr>
            </w:pPr>
            <w:r w:rsidRPr="002E4D67">
              <w:rPr>
                <w:lang w:val="en-US"/>
              </w:rPr>
              <w:t>Purchasers may redeem $WYND Tokens directly for WYND Services.</w:t>
            </w:r>
            <w:r w:rsidRPr="002E4D67">
              <w:rPr>
                <w:lang w:val="en-US"/>
              </w:rPr>
              <w:br/>
              <w:t xml:space="preserve">The number of tokens required for a booking is determined dynamically based on the </w:t>
            </w:r>
            <w:r w:rsidRPr="002E4D67">
              <w:rPr>
                <w:rStyle w:val="Fett"/>
                <w:lang w:val="en-US"/>
              </w:rPr>
              <w:t>market value of the token at the time of booking</w:t>
            </w:r>
            <w:r w:rsidRPr="002E4D67">
              <w:rPr>
                <w:lang w:val="en-US"/>
              </w:rPr>
              <w:t>, while the service price is defined in USD for stability and transparency.</w:t>
            </w:r>
          </w:p>
          <w:p w14:paraId="6C62311B" w14:textId="1AD101EE" w:rsidR="002E4D67" w:rsidRDefault="002E4D67" w:rsidP="002E4D67">
            <w:pPr>
              <w:pStyle w:val="berschrift3"/>
              <w:numPr>
                <w:ilvl w:val="0"/>
                <w:numId w:val="0"/>
              </w:numPr>
              <w:ind w:left="794" w:hanging="794"/>
              <w:rPr>
                <w:rStyle w:val="Fett"/>
                <w:b w:val="0"/>
                <w:bCs/>
                <w:lang w:val="en-US"/>
              </w:rPr>
            </w:pPr>
            <w:r w:rsidRPr="002E4D67">
              <w:rPr>
                <w:rStyle w:val="Fett"/>
                <w:b w:val="0"/>
                <w:bCs/>
                <w:lang w:val="en-US"/>
              </w:rPr>
              <w:t xml:space="preserve">(b) Receive a </w:t>
            </w:r>
            <w:r>
              <w:rPr>
                <w:rStyle w:val="Fett"/>
                <w:b w:val="0"/>
                <w:bCs/>
                <w:lang w:val="en-US"/>
              </w:rPr>
              <w:t>discount</w:t>
            </w:r>
          </w:p>
          <w:p w14:paraId="059EEA25" w14:textId="0A967B7C" w:rsidR="002E4D67" w:rsidRDefault="002E4D67" w:rsidP="002E4D67">
            <w:pPr>
              <w:pStyle w:val="berschrift3"/>
              <w:numPr>
                <w:ilvl w:val="0"/>
                <w:numId w:val="0"/>
              </w:numPr>
              <w:spacing w:before="120"/>
              <w:ind w:left="28"/>
            </w:pPr>
            <w:r>
              <w:t xml:space="preserve">All services booked with the token receive a </w:t>
            </w:r>
            <w:r w:rsidRPr="002E4D67">
              <w:rPr>
                <w:rStyle w:val="Fett"/>
                <w:b w:val="0"/>
                <w:bCs/>
              </w:rPr>
              <w:t>fixed 15% discount</w:t>
            </w:r>
            <w:r>
              <w:rPr>
                <w:rStyle w:val="Fett"/>
                <w:b w:val="0"/>
                <w:bCs/>
              </w:rPr>
              <w:t xml:space="preserve"> </w:t>
            </w:r>
            <w:r w:rsidRPr="002E4D67">
              <w:t xml:space="preserve">compared </w:t>
            </w:r>
            <w:r>
              <w:t>to fiat payments.</w:t>
            </w:r>
          </w:p>
          <w:p w14:paraId="7F3D5EF5" w14:textId="3C89499C" w:rsidR="002E4D67" w:rsidRPr="002E4D67" w:rsidRDefault="002E4D67" w:rsidP="002E4D67">
            <w:pPr>
              <w:pStyle w:val="berschrift3"/>
              <w:numPr>
                <w:ilvl w:val="0"/>
                <w:numId w:val="0"/>
              </w:numPr>
              <w:ind w:left="31"/>
              <w:rPr>
                <w:lang w:val="en-US"/>
              </w:rPr>
            </w:pPr>
            <w:r w:rsidRPr="002E4D67">
              <w:rPr>
                <w:rStyle w:val="Fett"/>
                <w:b w:val="0"/>
                <w:bCs/>
                <w:lang w:val="en-US"/>
              </w:rPr>
              <w:t>(c) Participate in the token-based Membership TIER program</w:t>
            </w:r>
          </w:p>
          <w:p w14:paraId="7070E3A6" w14:textId="77777777" w:rsidR="002E4D67" w:rsidRPr="002E4D67" w:rsidRDefault="002E4D67" w:rsidP="002E4D67">
            <w:pPr>
              <w:pStyle w:val="StandardWeb"/>
              <w:rPr>
                <w:lang w:val="en-US"/>
              </w:rPr>
            </w:pPr>
            <w:r w:rsidRPr="002E4D67">
              <w:rPr>
                <w:lang w:val="en-US"/>
              </w:rPr>
              <w:t xml:space="preserve">Membership levels are determined </w:t>
            </w:r>
            <w:r w:rsidRPr="002E4D67">
              <w:rPr>
                <w:rStyle w:val="Fett"/>
                <w:lang w:val="en-US"/>
              </w:rPr>
              <w:t>solely</w:t>
            </w:r>
            <w:r w:rsidRPr="002E4D67">
              <w:rPr>
                <w:lang w:val="en-US"/>
              </w:rPr>
              <w:t xml:space="preserve"> by the number of $WYND held or staked.</w:t>
            </w:r>
          </w:p>
          <w:p w14:paraId="79B4C833" w14:textId="7D1CA750" w:rsidR="002E4D67" w:rsidRPr="002E4D67" w:rsidRDefault="002E4D67" w:rsidP="002E4D67">
            <w:pPr>
              <w:pStyle w:val="berschrift3"/>
              <w:numPr>
                <w:ilvl w:val="0"/>
                <w:numId w:val="0"/>
              </w:numPr>
              <w:ind w:left="794" w:hanging="794"/>
              <w:rPr>
                <w:lang w:val="en-US"/>
              </w:rPr>
            </w:pPr>
            <w:r w:rsidRPr="002E4D67">
              <w:rPr>
                <w:rStyle w:val="Fett"/>
                <w:b w:val="0"/>
                <w:bCs/>
                <w:lang w:val="en-US"/>
              </w:rPr>
              <w:t xml:space="preserve">(d) Referral Program </w:t>
            </w:r>
          </w:p>
          <w:p w14:paraId="27713A73" w14:textId="77777777" w:rsidR="002E4D67" w:rsidRPr="002E4D67" w:rsidRDefault="002E4D67" w:rsidP="002E4D67">
            <w:pPr>
              <w:pStyle w:val="StandardWeb"/>
              <w:jc w:val="left"/>
              <w:rPr>
                <w:lang w:val="en-US"/>
              </w:rPr>
            </w:pPr>
            <w:r w:rsidRPr="002E4D67">
              <w:rPr>
                <w:lang w:val="en-US"/>
              </w:rPr>
              <w:t>Holders may receive 10% of the referred party’s token purchase in $WYND Tokens.</w:t>
            </w:r>
            <w:r w:rsidRPr="002E4D67">
              <w:rPr>
                <w:lang w:val="en-US"/>
              </w:rPr>
              <w:br/>
              <w:t>This reward:</w:t>
            </w:r>
          </w:p>
          <w:p w14:paraId="3DDC133D" w14:textId="77777777" w:rsidR="002E4D67" w:rsidRPr="002E4D67" w:rsidRDefault="002E4D67" w:rsidP="002E4D67">
            <w:pPr>
              <w:pStyle w:val="StandardWeb"/>
              <w:numPr>
                <w:ilvl w:val="0"/>
                <w:numId w:val="77"/>
              </w:numPr>
              <w:overflowPunct/>
              <w:autoSpaceDE/>
              <w:autoSpaceDN/>
              <w:adjustRightInd/>
              <w:spacing w:before="100" w:beforeAutospacing="1" w:after="100" w:afterAutospacing="1" w:line="240" w:lineRule="auto"/>
              <w:jc w:val="left"/>
              <w:textAlignment w:val="auto"/>
              <w:rPr>
                <w:lang w:val="en-US"/>
              </w:rPr>
            </w:pPr>
            <w:r w:rsidRPr="002E4D67">
              <w:rPr>
                <w:lang w:val="en-US"/>
              </w:rPr>
              <w:t>is non-financial in nature,</w:t>
            </w:r>
          </w:p>
          <w:p w14:paraId="3EDACD3F" w14:textId="77777777" w:rsidR="002E4D67" w:rsidRPr="002E4D67" w:rsidRDefault="002E4D67" w:rsidP="002E4D67">
            <w:pPr>
              <w:pStyle w:val="StandardWeb"/>
              <w:numPr>
                <w:ilvl w:val="0"/>
                <w:numId w:val="77"/>
              </w:numPr>
              <w:overflowPunct/>
              <w:autoSpaceDE/>
              <w:autoSpaceDN/>
              <w:adjustRightInd/>
              <w:spacing w:before="100" w:beforeAutospacing="1" w:after="100" w:afterAutospacing="1" w:line="240" w:lineRule="auto"/>
              <w:jc w:val="left"/>
              <w:textAlignment w:val="auto"/>
              <w:rPr>
                <w:lang w:val="en-US"/>
              </w:rPr>
            </w:pPr>
            <w:r w:rsidRPr="002E4D67">
              <w:rPr>
                <w:lang w:val="en-US"/>
              </w:rPr>
              <w:t>does not create income or yields,</w:t>
            </w:r>
          </w:p>
          <w:p w14:paraId="6B00CBAA" w14:textId="77777777" w:rsidR="002E4D67" w:rsidRPr="002E4D67" w:rsidRDefault="002E4D67" w:rsidP="002E4D67">
            <w:pPr>
              <w:pStyle w:val="StandardWeb"/>
              <w:numPr>
                <w:ilvl w:val="0"/>
                <w:numId w:val="77"/>
              </w:numPr>
              <w:overflowPunct/>
              <w:autoSpaceDE/>
              <w:autoSpaceDN/>
              <w:adjustRightInd/>
              <w:spacing w:before="100" w:beforeAutospacing="1" w:after="100" w:afterAutospacing="1" w:line="240" w:lineRule="auto"/>
              <w:jc w:val="left"/>
              <w:textAlignment w:val="auto"/>
              <w:rPr>
                <w:lang w:val="en-US"/>
              </w:rPr>
            </w:pPr>
            <w:r w:rsidRPr="002E4D67">
              <w:rPr>
                <w:lang w:val="en-US"/>
              </w:rPr>
              <w:t>does not change the token’s classification.</w:t>
            </w:r>
          </w:p>
          <w:p w14:paraId="18923A89" w14:textId="77777777" w:rsidR="002E4D67" w:rsidRPr="002E4D67" w:rsidRDefault="002E4D67" w:rsidP="002E4D67">
            <w:pPr>
              <w:pStyle w:val="berschrift3"/>
              <w:numPr>
                <w:ilvl w:val="0"/>
                <w:numId w:val="0"/>
              </w:numPr>
              <w:ind w:left="794" w:hanging="794"/>
              <w:rPr>
                <w:lang w:val="en-US"/>
              </w:rPr>
            </w:pPr>
            <w:r w:rsidRPr="002E4D67">
              <w:rPr>
                <w:rStyle w:val="Fett"/>
                <w:b w:val="0"/>
                <w:bCs/>
                <w:lang w:val="en-US"/>
              </w:rPr>
              <w:lastRenderedPageBreak/>
              <w:t>(e) Transferability of Tokens</w:t>
            </w:r>
          </w:p>
          <w:p w14:paraId="3CDC6453" w14:textId="77777777" w:rsidR="002E4D67" w:rsidRPr="002E4D67" w:rsidRDefault="002E4D67" w:rsidP="002E4D67">
            <w:pPr>
              <w:pStyle w:val="StandardWeb"/>
              <w:rPr>
                <w:lang w:val="en-US"/>
              </w:rPr>
            </w:pPr>
            <w:r w:rsidRPr="002E4D67">
              <w:rPr>
                <w:lang w:val="en-US"/>
              </w:rPr>
              <w:t>$WYND Tokens are freely transferable except:</w:t>
            </w:r>
          </w:p>
          <w:p w14:paraId="6E0193B9" w14:textId="77777777" w:rsidR="002E4D67" w:rsidRPr="002E4D67" w:rsidRDefault="002E4D67" w:rsidP="002E4D67">
            <w:pPr>
              <w:pStyle w:val="StandardWeb"/>
              <w:numPr>
                <w:ilvl w:val="0"/>
                <w:numId w:val="78"/>
              </w:numPr>
              <w:overflowPunct/>
              <w:autoSpaceDE/>
              <w:autoSpaceDN/>
              <w:adjustRightInd/>
              <w:spacing w:before="100" w:beforeAutospacing="1" w:after="100" w:afterAutospacing="1" w:line="240" w:lineRule="auto"/>
              <w:jc w:val="left"/>
              <w:textAlignment w:val="auto"/>
              <w:rPr>
                <w:lang w:val="en-US"/>
              </w:rPr>
            </w:pPr>
            <w:r w:rsidRPr="002E4D67">
              <w:rPr>
                <w:lang w:val="en-US"/>
              </w:rPr>
              <w:t>when locked due to staking,</w:t>
            </w:r>
          </w:p>
          <w:p w14:paraId="3991745C" w14:textId="3F7B2266" w:rsidR="002E4D67" w:rsidRPr="002B49A9" w:rsidRDefault="002E4D67" w:rsidP="002E4D67">
            <w:pPr>
              <w:pStyle w:val="StandardWeb"/>
              <w:numPr>
                <w:ilvl w:val="0"/>
                <w:numId w:val="78"/>
              </w:numPr>
              <w:overflowPunct/>
              <w:autoSpaceDE/>
              <w:autoSpaceDN/>
              <w:adjustRightInd/>
              <w:spacing w:before="100" w:beforeAutospacing="1" w:after="100" w:afterAutospacing="1" w:line="240" w:lineRule="auto"/>
              <w:jc w:val="left"/>
              <w:textAlignment w:val="auto"/>
              <w:rPr>
                <w:lang w:val="en-US"/>
              </w:rPr>
            </w:pPr>
            <w:r w:rsidRPr="002E4D67">
              <w:rPr>
                <w:lang w:val="en-US"/>
              </w:rPr>
              <w:t>when transfers would violate AML/KYC obligations or local law.</w:t>
            </w:r>
          </w:p>
          <w:p w14:paraId="1C29B5A8" w14:textId="2E9E32B1" w:rsidR="002E4D67" w:rsidRPr="002E4D67" w:rsidRDefault="002E4D67" w:rsidP="002E4D67">
            <w:pPr>
              <w:pStyle w:val="berschrift3"/>
              <w:numPr>
                <w:ilvl w:val="0"/>
                <w:numId w:val="0"/>
              </w:numPr>
              <w:ind w:left="794" w:hanging="794"/>
              <w:rPr>
                <w:lang w:val="en-US"/>
              </w:rPr>
            </w:pPr>
            <w:r>
              <w:rPr>
                <w:rStyle w:val="Fett"/>
                <w:lang w:val="en-US"/>
              </w:rPr>
              <w:t xml:space="preserve">2. </w:t>
            </w:r>
            <w:r w:rsidRPr="002E4D67">
              <w:rPr>
                <w:rStyle w:val="Fett"/>
                <w:lang w:val="en-US"/>
              </w:rPr>
              <w:t>Obligations of Token Holders</w:t>
            </w:r>
          </w:p>
          <w:p w14:paraId="072AA568" w14:textId="77777777" w:rsidR="002E4D67" w:rsidRPr="002E4D67" w:rsidRDefault="002E4D67" w:rsidP="002E4D67">
            <w:pPr>
              <w:pStyle w:val="StandardWeb"/>
              <w:rPr>
                <w:lang w:val="en-US"/>
              </w:rPr>
            </w:pPr>
            <w:r w:rsidRPr="002E4D67">
              <w:rPr>
                <w:lang w:val="en-US"/>
              </w:rPr>
              <w:t>Token holders must:</w:t>
            </w:r>
          </w:p>
          <w:p w14:paraId="0A18432D" w14:textId="77777777" w:rsidR="002E4D67" w:rsidRPr="002E4D67" w:rsidRDefault="002E4D67" w:rsidP="002E4D67">
            <w:pPr>
              <w:pStyle w:val="StandardWeb"/>
              <w:numPr>
                <w:ilvl w:val="0"/>
                <w:numId w:val="79"/>
              </w:numPr>
              <w:overflowPunct/>
              <w:autoSpaceDE/>
              <w:autoSpaceDN/>
              <w:adjustRightInd/>
              <w:spacing w:before="100" w:beforeAutospacing="1" w:after="100" w:afterAutospacing="1" w:line="240" w:lineRule="auto"/>
              <w:jc w:val="left"/>
              <w:textAlignment w:val="auto"/>
              <w:rPr>
                <w:lang w:val="en-US"/>
              </w:rPr>
            </w:pPr>
            <w:r w:rsidRPr="002E4D67">
              <w:rPr>
                <w:lang w:val="en-US"/>
              </w:rPr>
              <w:t>pay gas fees for all blockchain transactions,</w:t>
            </w:r>
          </w:p>
          <w:p w14:paraId="5FD5D842" w14:textId="77777777" w:rsidR="002E4D67" w:rsidRPr="002E4D67" w:rsidRDefault="002E4D67" w:rsidP="002E4D67">
            <w:pPr>
              <w:pStyle w:val="StandardWeb"/>
              <w:numPr>
                <w:ilvl w:val="0"/>
                <w:numId w:val="79"/>
              </w:numPr>
              <w:overflowPunct/>
              <w:autoSpaceDE/>
              <w:autoSpaceDN/>
              <w:adjustRightInd/>
              <w:spacing w:before="100" w:beforeAutospacing="1" w:after="100" w:afterAutospacing="1" w:line="240" w:lineRule="auto"/>
              <w:jc w:val="left"/>
              <w:textAlignment w:val="auto"/>
              <w:rPr>
                <w:lang w:val="en-US"/>
              </w:rPr>
            </w:pPr>
            <w:r w:rsidRPr="002E4D67">
              <w:rPr>
                <w:lang w:val="en-US"/>
              </w:rPr>
              <w:t>comply with WYND Terms of Use and Membership Rules,</w:t>
            </w:r>
          </w:p>
          <w:p w14:paraId="29D63DAF" w14:textId="77777777" w:rsidR="002E4D67" w:rsidRPr="002E4D67" w:rsidRDefault="002E4D67" w:rsidP="002E4D67">
            <w:pPr>
              <w:pStyle w:val="StandardWeb"/>
              <w:numPr>
                <w:ilvl w:val="0"/>
                <w:numId w:val="79"/>
              </w:numPr>
              <w:overflowPunct/>
              <w:autoSpaceDE/>
              <w:autoSpaceDN/>
              <w:adjustRightInd/>
              <w:spacing w:before="100" w:beforeAutospacing="1" w:after="100" w:afterAutospacing="1" w:line="240" w:lineRule="auto"/>
              <w:jc w:val="left"/>
              <w:textAlignment w:val="auto"/>
              <w:rPr>
                <w:lang w:val="en-US"/>
              </w:rPr>
            </w:pPr>
            <w:r w:rsidRPr="002E4D67">
              <w:rPr>
                <w:lang w:val="en-US"/>
              </w:rPr>
              <w:t>complete AML/KYC where required by law,</w:t>
            </w:r>
          </w:p>
          <w:p w14:paraId="4B90897E" w14:textId="70BD2F3D" w:rsidR="002E4D67" w:rsidRPr="00CB42A0" w:rsidRDefault="002E4D67" w:rsidP="002E4D67">
            <w:pPr>
              <w:pStyle w:val="StandardWeb"/>
              <w:numPr>
                <w:ilvl w:val="0"/>
                <w:numId w:val="79"/>
              </w:numPr>
              <w:overflowPunct/>
              <w:autoSpaceDE/>
              <w:autoSpaceDN/>
              <w:adjustRightInd/>
              <w:spacing w:before="100" w:beforeAutospacing="1" w:after="100" w:afterAutospacing="1" w:line="240" w:lineRule="auto"/>
              <w:jc w:val="left"/>
              <w:textAlignment w:val="auto"/>
              <w:rPr>
                <w:lang w:val="en-US"/>
              </w:rPr>
            </w:pPr>
            <w:r w:rsidRPr="002E4D67">
              <w:rPr>
                <w:lang w:val="en-US"/>
              </w:rPr>
              <w:t>ensure secure wallet management.</w:t>
            </w:r>
          </w:p>
          <w:p w14:paraId="02F775FA" w14:textId="22B6018C" w:rsidR="002E4D67" w:rsidRPr="002E4D67" w:rsidRDefault="002B49A9" w:rsidP="002B49A9">
            <w:pPr>
              <w:pStyle w:val="berschrift2"/>
              <w:numPr>
                <w:ilvl w:val="0"/>
                <w:numId w:val="0"/>
              </w:numPr>
              <w:ind w:left="792" w:hanging="792"/>
              <w:rPr>
                <w:lang w:val="en-US"/>
              </w:rPr>
            </w:pPr>
            <w:r>
              <w:rPr>
                <w:rStyle w:val="Fett"/>
                <w:b/>
                <w:bCs/>
                <w:lang w:val="en-US"/>
              </w:rPr>
              <w:t xml:space="preserve">3. </w:t>
            </w:r>
            <w:r w:rsidR="002E4D67" w:rsidRPr="002E4D67">
              <w:rPr>
                <w:rStyle w:val="Fett"/>
                <w:b/>
                <w:bCs/>
                <w:lang w:val="en-US"/>
              </w:rPr>
              <w:t>Modification of Rights and Obligations</w:t>
            </w:r>
          </w:p>
          <w:p w14:paraId="6A75AB12" w14:textId="77777777" w:rsidR="002E4D67" w:rsidRPr="002E4D67" w:rsidRDefault="002E4D67" w:rsidP="002E4D67">
            <w:pPr>
              <w:pStyle w:val="StandardWeb"/>
              <w:rPr>
                <w:lang w:val="en-US"/>
              </w:rPr>
            </w:pPr>
            <w:r w:rsidRPr="002E4D67">
              <w:rPr>
                <w:lang w:val="en-US"/>
              </w:rPr>
              <w:t xml:space="preserve">WYND Capital GmbH may amend </w:t>
            </w:r>
            <w:r w:rsidRPr="002E4D67">
              <w:rPr>
                <w:rStyle w:val="Fett"/>
                <w:lang w:val="en-US"/>
              </w:rPr>
              <w:t>non-essential</w:t>
            </w:r>
            <w:r w:rsidRPr="002E4D67">
              <w:rPr>
                <w:lang w:val="en-US"/>
              </w:rPr>
              <w:t xml:space="preserve"> tokenholder rights and obligations when necessary for:</w:t>
            </w:r>
          </w:p>
          <w:p w14:paraId="3F30B4AC" w14:textId="77777777" w:rsidR="002E4D67" w:rsidRPr="002E4D67" w:rsidRDefault="002E4D67" w:rsidP="002E4D67">
            <w:pPr>
              <w:pStyle w:val="StandardWeb"/>
              <w:numPr>
                <w:ilvl w:val="0"/>
                <w:numId w:val="80"/>
              </w:numPr>
              <w:overflowPunct/>
              <w:autoSpaceDE/>
              <w:autoSpaceDN/>
              <w:adjustRightInd/>
              <w:spacing w:before="100" w:beforeAutospacing="1" w:after="100" w:afterAutospacing="1" w:line="240" w:lineRule="auto"/>
              <w:jc w:val="left"/>
              <w:textAlignment w:val="auto"/>
              <w:rPr>
                <w:lang w:val="en-US"/>
              </w:rPr>
            </w:pPr>
            <w:r w:rsidRPr="002E4D67">
              <w:rPr>
                <w:lang w:val="en-US"/>
              </w:rPr>
              <w:t>compliance with applicable laws and MiCAR,</w:t>
            </w:r>
          </w:p>
          <w:p w14:paraId="4A9000E0" w14:textId="77777777" w:rsidR="002E4D67" w:rsidRPr="002E4D67" w:rsidRDefault="002E4D67" w:rsidP="002E4D67">
            <w:pPr>
              <w:pStyle w:val="StandardWeb"/>
              <w:numPr>
                <w:ilvl w:val="0"/>
                <w:numId w:val="80"/>
              </w:numPr>
              <w:overflowPunct/>
              <w:autoSpaceDE/>
              <w:autoSpaceDN/>
              <w:adjustRightInd/>
              <w:spacing w:before="100" w:beforeAutospacing="1" w:after="100" w:afterAutospacing="1" w:line="240" w:lineRule="auto"/>
              <w:jc w:val="left"/>
              <w:textAlignment w:val="auto"/>
              <w:rPr>
                <w:lang w:val="en-US"/>
              </w:rPr>
            </w:pPr>
            <w:r w:rsidRPr="002E4D67">
              <w:rPr>
                <w:lang w:val="en-US"/>
              </w:rPr>
              <w:t>operational continuity,</w:t>
            </w:r>
          </w:p>
          <w:p w14:paraId="117E7BC7" w14:textId="77777777" w:rsidR="002E4D67" w:rsidRPr="002E4D67" w:rsidRDefault="002E4D67" w:rsidP="002E4D67">
            <w:pPr>
              <w:pStyle w:val="StandardWeb"/>
              <w:numPr>
                <w:ilvl w:val="0"/>
                <w:numId w:val="80"/>
              </w:numPr>
              <w:overflowPunct/>
              <w:autoSpaceDE/>
              <w:autoSpaceDN/>
              <w:adjustRightInd/>
              <w:spacing w:before="100" w:beforeAutospacing="1" w:after="100" w:afterAutospacing="1" w:line="240" w:lineRule="auto"/>
              <w:jc w:val="left"/>
              <w:textAlignment w:val="auto"/>
              <w:rPr>
                <w:lang w:val="en-US"/>
              </w:rPr>
            </w:pPr>
            <w:r w:rsidRPr="002E4D67">
              <w:rPr>
                <w:lang w:val="en-US"/>
              </w:rPr>
              <w:t>technical requirements,</w:t>
            </w:r>
          </w:p>
          <w:p w14:paraId="3C5F3212" w14:textId="77777777" w:rsidR="002E4D67" w:rsidRPr="002E4D67" w:rsidRDefault="002E4D67" w:rsidP="002E4D67">
            <w:pPr>
              <w:pStyle w:val="StandardWeb"/>
              <w:numPr>
                <w:ilvl w:val="0"/>
                <w:numId w:val="80"/>
              </w:numPr>
              <w:overflowPunct/>
              <w:autoSpaceDE/>
              <w:autoSpaceDN/>
              <w:adjustRightInd/>
              <w:spacing w:before="100" w:beforeAutospacing="1" w:after="100" w:afterAutospacing="1" w:line="240" w:lineRule="auto"/>
              <w:jc w:val="left"/>
              <w:textAlignment w:val="auto"/>
              <w:rPr>
                <w:lang w:val="en-US"/>
              </w:rPr>
            </w:pPr>
            <w:r w:rsidRPr="002E4D67">
              <w:rPr>
                <w:lang w:val="en-US"/>
              </w:rPr>
              <w:t>service availability and quality.</w:t>
            </w:r>
          </w:p>
          <w:p w14:paraId="2B10BFE5" w14:textId="77777777" w:rsidR="002E4D67" w:rsidRPr="002E4D67" w:rsidRDefault="002E4D67" w:rsidP="002E4D67">
            <w:pPr>
              <w:pStyle w:val="StandardWeb"/>
              <w:rPr>
                <w:lang w:val="en-US"/>
              </w:rPr>
            </w:pPr>
            <w:r w:rsidRPr="002E4D67">
              <w:rPr>
                <w:lang w:val="en-US"/>
              </w:rPr>
              <w:t>Any modification will:</w:t>
            </w:r>
          </w:p>
          <w:p w14:paraId="3C9E887C" w14:textId="77777777" w:rsidR="002E4D67" w:rsidRPr="002E4D67" w:rsidRDefault="002E4D67" w:rsidP="002E4D67">
            <w:pPr>
              <w:pStyle w:val="StandardWeb"/>
              <w:numPr>
                <w:ilvl w:val="0"/>
                <w:numId w:val="81"/>
              </w:numPr>
              <w:overflowPunct/>
              <w:autoSpaceDE/>
              <w:autoSpaceDN/>
              <w:adjustRightInd/>
              <w:spacing w:before="100" w:beforeAutospacing="1" w:after="100" w:afterAutospacing="1" w:line="240" w:lineRule="auto"/>
              <w:jc w:val="left"/>
              <w:textAlignment w:val="auto"/>
              <w:rPr>
                <w:lang w:val="en-US"/>
              </w:rPr>
            </w:pPr>
            <w:r w:rsidRPr="002E4D67">
              <w:rPr>
                <w:lang w:val="en-US"/>
              </w:rPr>
              <w:t>apply only prospectively,</w:t>
            </w:r>
          </w:p>
          <w:p w14:paraId="28E6E426" w14:textId="77777777" w:rsidR="002E4D67" w:rsidRPr="002E4D67" w:rsidRDefault="002E4D67" w:rsidP="002E4D67">
            <w:pPr>
              <w:pStyle w:val="StandardWeb"/>
              <w:numPr>
                <w:ilvl w:val="0"/>
                <w:numId w:val="81"/>
              </w:numPr>
              <w:overflowPunct/>
              <w:autoSpaceDE/>
              <w:autoSpaceDN/>
              <w:adjustRightInd/>
              <w:spacing w:before="100" w:beforeAutospacing="1" w:after="100" w:afterAutospacing="1" w:line="240" w:lineRule="auto"/>
              <w:jc w:val="left"/>
              <w:textAlignment w:val="auto"/>
              <w:rPr>
                <w:lang w:val="en-US"/>
              </w:rPr>
            </w:pPr>
            <w:r w:rsidRPr="002E4D67">
              <w:rPr>
                <w:lang w:val="en-US"/>
              </w:rPr>
              <w:t>not affect confirmed bookings or ongoing staking,</w:t>
            </w:r>
          </w:p>
          <w:p w14:paraId="60C512C0" w14:textId="420E69AE" w:rsidR="002E4D67" w:rsidRPr="00CB42A0" w:rsidRDefault="002E4D67" w:rsidP="002E4D67">
            <w:pPr>
              <w:pStyle w:val="StandardWeb"/>
              <w:numPr>
                <w:ilvl w:val="0"/>
                <w:numId w:val="81"/>
              </w:numPr>
              <w:overflowPunct/>
              <w:autoSpaceDE/>
              <w:autoSpaceDN/>
              <w:adjustRightInd/>
              <w:spacing w:before="100" w:beforeAutospacing="1" w:after="100" w:afterAutospacing="1" w:line="240" w:lineRule="auto"/>
              <w:jc w:val="left"/>
              <w:textAlignment w:val="auto"/>
              <w:rPr>
                <w:lang w:val="en-US"/>
              </w:rPr>
            </w:pPr>
            <w:r w:rsidRPr="002E4D67">
              <w:rPr>
                <w:lang w:val="en-US"/>
              </w:rPr>
              <w:t>require explicit consent if materially adverse to token holders.</w:t>
            </w:r>
          </w:p>
          <w:p w14:paraId="036D39ED" w14:textId="02D8BBC6" w:rsidR="002E4D67" w:rsidRPr="002E4D67" w:rsidRDefault="002B49A9" w:rsidP="002B49A9">
            <w:pPr>
              <w:pStyle w:val="berschrift2"/>
              <w:numPr>
                <w:ilvl w:val="0"/>
                <w:numId w:val="0"/>
              </w:numPr>
              <w:ind w:left="792" w:hanging="792"/>
              <w:rPr>
                <w:lang w:val="en-US"/>
              </w:rPr>
            </w:pPr>
            <w:r>
              <w:rPr>
                <w:rStyle w:val="Fett"/>
                <w:b/>
                <w:bCs/>
                <w:lang w:val="en-US"/>
              </w:rPr>
              <w:t xml:space="preserve">4. </w:t>
            </w:r>
            <w:r w:rsidR="002E4D67" w:rsidRPr="002E4D67">
              <w:rPr>
                <w:rStyle w:val="Fett"/>
                <w:b/>
                <w:bCs/>
                <w:lang w:val="en-US"/>
              </w:rPr>
              <w:t xml:space="preserve"> Transferability and Staking Mechanism</w:t>
            </w:r>
          </w:p>
          <w:p w14:paraId="1053FB56" w14:textId="65D58986" w:rsidR="002E4D67" w:rsidRPr="002E4D67" w:rsidRDefault="002B49A9" w:rsidP="009770E0">
            <w:pPr>
              <w:pStyle w:val="berschrift3"/>
              <w:numPr>
                <w:ilvl w:val="0"/>
                <w:numId w:val="0"/>
              </w:numPr>
              <w:rPr>
                <w:lang w:val="en-US"/>
              </w:rPr>
            </w:pPr>
            <w:r>
              <w:rPr>
                <w:rStyle w:val="Fett"/>
                <w:b w:val="0"/>
                <w:bCs/>
                <w:lang w:val="en-US"/>
              </w:rPr>
              <w:t xml:space="preserve">(a) </w:t>
            </w:r>
            <w:r w:rsidR="002E4D67" w:rsidRPr="002E4D67">
              <w:rPr>
                <w:rStyle w:val="Fett"/>
                <w:b w:val="0"/>
                <w:bCs/>
                <w:lang w:val="en-US"/>
              </w:rPr>
              <w:t>Transferability</w:t>
            </w:r>
          </w:p>
          <w:p w14:paraId="6E975BFA" w14:textId="77777777" w:rsidR="009770E0" w:rsidRDefault="002E4D67" w:rsidP="009770E0">
            <w:pPr>
              <w:pStyle w:val="StandardWeb"/>
              <w:rPr>
                <w:lang w:val="en-US"/>
              </w:rPr>
            </w:pPr>
            <w:r w:rsidRPr="002E4D67">
              <w:rPr>
                <w:lang w:val="en-US"/>
              </w:rPr>
              <w:lastRenderedPageBreak/>
              <w:t>$WYND Tokens can be transferred between compliant wallets.</w:t>
            </w:r>
            <w:r w:rsidRPr="002E4D67">
              <w:rPr>
                <w:lang w:val="en-US"/>
              </w:rPr>
              <w:br/>
              <w:t xml:space="preserve">Staked tokens are </w:t>
            </w:r>
            <w:r w:rsidRPr="002E4D67">
              <w:rPr>
                <w:rStyle w:val="Fett"/>
                <w:lang w:val="en-US"/>
              </w:rPr>
              <w:t>not transferable</w:t>
            </w:r>
            <w:r w:rsidRPr="002E4D67">
              <w:rPr>
                <w:lang w:val="en-US"/>
              </w:rPr>
              <w:t xml:space="preserve"> until the staking period ends.</w:t>
            </w:r>
          </w:p>
          <w:p w14:paraId="5A3E4FC0" w14:textId="342E4845" w:rsidR="002E4D67" w:rsidRPr="002E4D67" w:rsidRDefault="002B49A9" w:rsidP="009770E0">
            <w:pPr>
              <w:pStyle w:val="StandardWeb"/>
              <w:rPr>
                <w:lang w:val="en-US"/>
              </w:rPr>
            </w:pPr>
            <w:r>
              <w:rPr>
                <w:rStyle w:val="Fett"/>
                <w:b w:val="0"/>
                <w:bCs w:val="0"/>
                <w:lang w:val="en-US"/>
              </w:rPr>
              <w:t xml:space="preserve">(b) </w:t>
            </w:r>
            <w:r w:rsidR="002E4D67" w:rsidRPr="002E4D67">
              <w:rPr>
                <w:rStyle w:val="Fett"/>
                <w:b w:val="0"/>
                <w:bCs w:val="0"/>
                <w:lang w:val="en-US"/>
              </w:rPr>
              <w:t>Staking</w:t>
            </w:r>
          </w:p>
          <w:p w14:paraId="23866A6B" w14:textId="77777777" w:rsidR="002E4D67" w:rsidRPr="002E4D67" w:rsidRDefault="002E4D67" w:rsidP="002E4D67">
            <w:pPr>
              <w:pStyle w:val="StandardWeb"/>
              <w:rPr>
                <w:lang w:val="en-US"/>
              </w:rPr>
            </w:pPr>
            <w:r w:rsidRPr="002E4D67">
              <w:rPr>
                <w:lang w:val="en-US"/>
              </w:rPr>
              <w:t>Staking allows users to lock tokens for fixed durations (3–36 months) to unlock higher membership tiers and access-related benefits.</w:t>
            </w:r>
          </w:p>
          <w:p w14:paraId="76AD5EDD" w14:textId="77777777" w:rsidR="002E4D67" w:rsidRPr="002E4D67" w:rsidRDefault="002E4D67" w:rsidP="002E4D67">
            <w:pPr>
              <w:pStyle w:val="StandardWeb"/>
              <w:rPr>
                <w:lang w:val="en-US"/>
              </w:rPr>
            </w:pPr>
            <w:r w:rsidRPr="002E4D67">
              <w:rPr>
                <w:lang w:val="en-US"/>
              </w:rPr>
              <w:t>Staking:</w:t>
            </w:r>
          </w:p>
          <w:p w14:paraId="741D35E0" w14:textId="77777777" w:rsidR="002E4D67" w:rsidRPr="002E4D67" w:rsidRDefault="002E4D67" w:rsidP="002E4D67">
            <w:pPr>
              <w:pStyle w:val="StandardWeb"/>
              <w:numPr>
                <w:ilvl w:val="0"/>
                <w:numId w:val="82"/>
              </w:numPr>
              <w:overflowPunct/>
              <w:autoSpaceDE/>
              <w:autoSpaceDN/>
              <w:adjustRightInd/>
              <w:spacing w:before="100" w:beforeAutospacing="1" w:after="100" w:afterAutospacing="1" w:line="240" w:lineRule="auto"/>
              <w:jc w:val="left"/>
              <w:textAlignment w:val="auto"/>
              <w:rPr>
                <w:lang w:val="en-US"/>
              </w:rPr>
            </w:pPr>
            <w:r w:rsidRPr="002E4D67">
              <w:rPr>
                <w:lang w:val="en-US"/>
              </w:rPr>
              <w:t>does not generate yield, interest, or profit,</w:t>
            </w:r>
          </w:p>
          <w:p w14:paraId="26FFF36A" w14:textId="77777777" w:rsidR="002E4D67" w:rsidRPr="002E4D67" w:rsidRDefault="002E4D67" w:rsidP="002E4D67">
            <w:pPr>
              <w:pStyle w:val="StandardWeb"/>
              <w:numPr>
                <w:ilvl w:val="0"/>
                <w:numId w:val="82"/>
              </w:numPr>
              <w:overflowPunct/>
              <w:autoSpaceDE/>
              <w:autoSpaceDN/>
              <w:adjustRightInd/>
              <w:spacing w:before="100" w:beforeAutospacing="1" w:after="100" w:afterAutospacing="1" w:line="240" w:lineRule="auto"/>
              <w:jc w:val="left"/>
              <w:textAlignment w:val="auto"/>
              <w:rPr>
                <w:lang w:val="en-US"/>
              </w:rPr>
            </w:pPr>
            <w:r w:rsidRPr="002E4D67">
              <w:rPr>
                <w:lang w:val="en-US"/>
              </w:rPr>
              <w:t>does not transfer token ownership to WYND,</w:t>
            </w:r>
          </w:p>
          <w:p w14:paraId="4117C1B4" w14:textId="7C7154F9" w:rsidR="002E4D67" w:rsidRPr="002E4D67" w:rsidRDefault="002E4D67" w:rsidP="002B49A9">
            <w:pPr>
              <w:pStyle w:val="berschrift2"/>
              <w:numPr>
                <w:ilvl w:val="0"/>
                <w:numId w:val="0"/>
              </w:numPr>
              <w:ind w:left="792" w:hanging="792"/>
              <w:rPr>
                <w:lang w:val="en-US"/>
              </w:rPr>
            </w:pPr>
            <w:r w:rsidRPr="002E4D67">
              <w:rPr>
                <w:rStyle w:val="Fett"/>
                <w:b/>
                <w:bCs/>
                <w:lang w:val="en-US"/>
              </w:rPr>
              <w:t>5</w:t>
            </w:r>
            <w:r w:rsidR="002B49A9">
              <w:rPr>
                <w:rStyle w:val="Fett"/>
                <w:b/>
                <w:bCs/>
                <w:lang w:val="en-US"/>
              </w:rPr>
              <w:t xml:space="preserve">. </w:t>
            </w:r>
            <w:r w:rsidRPr="002E4D67">
              <w:rPr>
                <w:rStyle w:val="Fett"/>
                <w:b/>
                <w:bCs/>
                <w:lang w:val="en-US"/>
              </w:rPr>
              <w:t xml:space="preserve"> Gas Fees</w:t>
            </w:r>
          </w:p>
          <w:p w14:paraId="476EE990" w14:textId="77777777" w:rsidR="002E4D67" w:rsidRPr="002E4D67" w:rsidRDefault="002E4D67" w:rsidP="002E4D67">
            <w:pPr>
              <w:pStyle w:val="StandardWeb"/>
              <w:rPr>
                <w:lang w:val="en-US"/>
              </w:rPr>
            </w:pPr>
            <w:r w:rsidRPr="002E4D67">
              <w:rPr>
                <w:lang w:val="en-US"/>
              </w:rPr>
              <w:t>All blockchain transactions involving the $WYND token (including transfers, staking, and booking settlements) require gas fees, which must be paid by the token holder in the native currency of the blockchain (e.g., ETH).</w:t>
            </w:r>
          </w:p>
          <w:p w14:paraId="63476239" w14:textId="7E5ADF70" w:rsidR="002E4D67" w:rsidRPr="002E4D67" w:rsidRDefault="002E4D67" w:rsidP="002B49A9">
            <w:pPr>
              <w:pStyle w:val="StandardWeb"/>
              <w:rPr>
                <w:lang w:val="en-US"/>
              </w:rPr>
            </w:pPr>
            <w:r w:rsidRPr="002E4D67">
              <w:rPr>
                <w:lang w:val="en-US"/>
              </w:rPr>
              <w:t>Gas fees depend solely on the network conditions of the underlying blockchain.</w:t>
            </w:r>
          </w:p>
          <w:p w14:paraId="44901F24" w14:textId="3F263C95" w:rsidR="002E4D67" w:rsidRPr="002E4D67" w:rsidRDefault="002E4D67" w:rsidP="002B49A9">
            <w:pPr>
              <w:pStyle w:val="berschrift2"/>
              <w:numPr>
                <w:ilvl w:val="0"/>
                <w:numId w:val="0"/>
              </w:numPr>
              <w:ind w:left="792" w:hanging="792"/>
              <w:rPr>
                <w:lang w:val="en-US"/>
              </w:rPr>
            </w:pPr>
            <w:r w:rsidRPr="002E4D67">
              <w:rPr>
                <w:rStyle w:val="Fett"/>
                <w:b/>
                <w:bCs/>
                <w:lang w:val="en-US"/>
              </w:rPr>
              <w:t>6</w:t>
            </w:r>
            <w:r w:rsidR="002B49A9">
              <w:rPr>
                <w:rStyle w:val="Fett"/>
                <w:b/>
                <w:bCs/>
                <w:lang w:val="en-US"/>
              </w:rPr>
              <w:t xml:space="preserve">. </w:t>
            </w:r>
            <w:r w:rsidRPr="002E4D67">
              <w:rPr>
                <w:rStyle w:val="Fett"/>
                <w:b/>
                <w:bCs/>
                <w:lang w:val="en-US"/>
              </w:rPr>
              <w:t xml:space="preserve"> Future Developments</w:t>
            </w:r>
          </w:p>
          <w:p w14:paraId="68077A46" w14:textId="77777777" w:rsidR="002E4D67" w:rsidRPr="002E4D67" w:rsidRDefault="002E4D67" w:rsidP="002E4D67">
            <w:pPr>
              <w:pStyle w:val="StandardWeb"/>
              <w:rPr>
                <w:lang w:val="en-US"/>
              </w:rPr>
            </w:pPr>
            <w:r w:rsidRPr="002E4D67">
              <w:rPr>
                <w:lang w:val="en-US"/>
              </w:rPr>
              <w:t>WYND Capital GmbH may expand the utility of the token by adding new service categories, including:</w:t>
            </w:r>
          </w:p>
          <w:p w14:paraId="01EAB33D" w14:textId="77777777" w:rsidR="002E4D67" w:rsidRPr="002E4D67" w:rsidRDefault="002E4D67" w:rsidP="002E4D67">
            <w:pPr>
              <w:pStyle w:val="StandardWeb"/>
              <w:numPr>
                <w:ilvl w:val="0"/>
                <w:numId w:val="83"/>
              </w:numPr>
              <w:overflowPunct/>
              <w:autoSpaceDE/>
              <w:autoSpaceDN/>
              <w:adjustRightInd/>
              <w:spacing w:before="100" w:beforeAutospacing="1" w:after="100" w:afterAutospacing="1" w:line="240" w:lineRule="auto"/>
              <w:jc w:val="left"/>
              <w:textAlignment w:val="auto"/>
              <w:rPr>
                <w:lang w:val="en-US"/>
              </w:rPr>
            </w:pPr>
            <w:r w:rsidRPr="002E4D67">
              <w:rPr>
                <w:lang w:val="en-US"/>
              </w:rPr>
              <w:t>enhanced concierge functions,</w:t>
            </w:r>
          </w:p>
          <w:p w14:paraId="23EADC8A" w14:textId="77777777" w:rsidR="002E4D67" w:rsidRPr="002E4D67" w:rsidRDefault="002E4D67" w:rsidP="002E4D67">
            <w:pPr>
              <w:pStyle w:val="StandardWeb"/>
              <w:numPr>
                <w:ilvl w:val="0"/>
                <w:numId w:val="83"/>
              </w:numPr>
              <w:overflowPunct/>
              <w:autoSpaceDE/>
              <w:autoSpaceDN/>
              <w:adjustRightInd/>
              <w:spacing w:before="100" w:beforeAutospacing="1" w:after="100" w:afterAutospacing="1" w:line="240" w:lineRule="auto"/>
              <w:jc w:val="left"/>
              <w:textAlignment w:val="auto"/>
              <w:rPr>
                <w:lang w:val="en-US"/>
              </w:rPr>
            </w:pPr>
            <w:r w:rsidRPr="002E4D67">
              <w:rPr>
                <w:lang w:val="en-US"/>
              </w:rPr>
              <w:t>additional global travel &amp; lifestyle experiences,</w:t>
            </w:r>
          </w:p>
          <w:p w14:paraId="041B6884" w14:textId="77777777" w:rsidR="002E4D67" w:rsidRPr="002E4D67" w:rsidRDefault="002E4D67" w:rsidP="002E4D67">
            <w:pPr>
              <w:pStyle w:val="StandardWeb"/>
              <w:numPr>
                <w:ilvl w:val="0"/>
                <w:numId w:val="83"/>
              </w:numPr>
              <w:overflowPunct/>
              <w:autoSpaceDE/>
              <w:autoSpaceDN/>
              <w:adjustRightInd/>
              <w:spacing w:before="100" w:beforeAutospacing="1" w:after="100" w:afterAutospacing="1" w:line="240" w:lineRule="auto"/>
              <w:jc w:val="left"/>
              <w:textAlignment w:val="auto"/>
              <w:rPr>
                <w:lang w:val="en-US"/>
              </w:rPr>
            </w:pPr>
            <w:r w:rsidRPr="002E4D67">
              <w:rPr>
                <w:lang w:val="en-US"/>
              </w:rPr>
              <w:t>access to special events,</w:t>
            </w:r>
          </w:p>
          <w:p w14:paraId="2A8533EC" w14:textId="77777777" w:rsidR="002E4D67" w:rsidRPr="002E4D67" w:rsidRDefault="002E4D67" w:rsidP="002E4D67">
            <w:pPr>
              <w:pStyle w:val="StandardWeb"/>
              <w:numPr>
                <w:ilvl w:val="0"/>
                <w:numId w:val="83"/>
              </w:numPr>
              <w:overflowPunct/>
              <w:autoSpaceDE/>
              <w:autoSpaceDN/>
              <w:adjustRightInd/>
              <w:spacing w:before="100" w:beforeAutospacing="1" w:after="100" w:afterAutospacing="1" w:line="240" w:lineRule="auto"/>
              <w:jc w:val="left"/>
              <w:textAlignment w:val="auto"/>
              <w:rPr>
                <w:lang w:val="en-US"/>
              </w:rPr>
            </w:pPr>
            <w:r w:rsidRPr="002E4D67">
              <w:rPr>
                <w:lang w:val="en-US"/>
              </w:rPr>
              <w:t>future mobility offerings (Jet &amp; Heli),</w:t>
            </w:r>
          </w:p>
          <w:p w14:paraId="53259F67" w14:textId="77777777" w:rsidR="002E4D67" w:rsidRPr="002E4D67" w:rsidRDefault="002E4D67" w:rsidP="002E4D67">
            <w:pPr>
              <w:pStyle w:val="StandardWeb"/>
              <w:numPr>
                <w:ilvl w:val="0"/>
                <w:numId w:val="83"/>
              </w:numPr>
              <w:overflowPunct/>
              <w:autoSpaceDE/>
              <w:autoSpaceDN/>
              <w:adjustRightInd/>
              <w:spacing w:before="100" w:beforeAutospacing="1" w:after="100" w:afterAutospacing="1" w:line="240" w:lineRule="auto"/>
              <w:jc w:val="left"/>
              <w:textAlignment w:val="auto"/>
              <w:rPr>
                <w:lang w:val="en-US"/>
              </w:rPr>
            </w:pPr>
            <w:r w:rsidRPr="002E4D67">
              <w:rPr>
                <w:lang w:val="en-US"/>
              </w:rPr>
              <w:t>optional advisory participation (non-binding preference voting).</w:t>
            </w:r>
          </w:p>
          <w:p w14:paraId="656114DF" w14:textId="77777777" w:rsidR="002E4D67" w:rsidRPr="002E4D67" w:rsidRDefault="002E4D67" w:rsidP="002E4D67">
            <w:pPr>
              <w:pStyle w:val="StandardWeb"/>
              <w:rPr>
                <w:lang w:val="en-US"/>
              </w:rPr>
            </w:pPr>
            <w:r w:rsidRPr="002E4D67">
              <w:rPr>
                <w:lang w:val="en-US"/>
              </w:rPr>
              <w:t>Future developments:</w:t>
            </w:r>
          </w:p>
          <w:p w14:paraId="586AA2C6" w14:textId="77777777" w:rsidR="002E4D67" w:rsidRPr="002E4D67" w:rsidRDefault="002E4D67" w:rsidP="002E4D67">
            <w:pPr>
              <w:pStyle w:val="StandardWeb"/>
              <w:numPr>
                <w:ilvl w:val="0"/>
                <w:numId w:val="84"/>
              </w:numPr>
              <w:overflowPunct/>
              <w:autoSpaceDE/>
              <w:autoSpaceDN/>
              <w:adjustRightInd/>
              <w:spacing w:before="100" w:beforeAutospacing="1" w:after="100" w:afterAutospacing="1" w:line="240" w:lineRule="auto"/>
              <w:jc w:val="left"/>
              <w:textAlignment w:val="auto"/>
              <w:rPr>
                <w:lang w:val="en-US"/>
              </w:rPr>
            </w:pPr>
            <w:r w:rsidRPr="002E4D67">
              <w:rPr>
                <w:lang w:val="en-US"/>
              </w:rPr>
              <w:t>will always remain fully MiCAR-compliant,</w:t>
            </w:r>
          </w:p>
          <w:p w14:paraId="0DF37820" w14:textId="77777777" w:rsidR="002E4D67" w:rsidRPr="002E4D67" w:rsidRDefault="002E4D67" w:rsidP="002E4D67">
            <w:pPr>
              <w:pStyle w:val="StandardWeb"/>
              <w:numPr>
                <w:ilvl w:val="0"/>
                <w:numId w:val="84"/>
              </w:numPr>
              <w:overflowPunct/>
              <w:autoSpaceDE/>
              <w:autoSpaceDN/>
              <w:adjustRightInd/>
              <w:spacing w:before="100" w:beforeAutospacing="1" w:after="100" w:afterAutospacing="1" w:line="240" w:lineRule="auto"/>
              <w:jc w:val="left"/>
              <w:textAlignment w:val="auto"/>
              <w:rPr>
                <w:lang w:val="en-US"/>
              </w:rPr>
            </w:pPr>
            <w:r w:rsidRPr="002E4D67">
              <w:rPr>
                <w:lang w:val="en-US"/>
              </w:rPr>
              <w:t>will never introduce financial returns or ownership rights,</w:t>
            </w:r>
          </w:p>
          <w:p w14:paraId="50541035" w14:textId="77777777" w:rsidR="002E4D67" w:rsidRPr="002E4D67" w:rsidRDefault="002E4D67" w:rsidP="002E4D67">
            <w:pPr>
              <w:pStyle w:val="StandardWeb"/>
              <w:numPr>
                <w:ilvl w:val="0"/>
                <w:numId w:val="84"/>
              </w:numPr>
              <w:overflowPunct/>
              <w:autoSpaceDE/>
              <w:autoSpaceDN/>
              <w:adjustRightInd/>
              <w:spacing w:before="100" w:beforeAutospacing="1" w:after="100" w:afterAutospacing="1" w:line="240" w:lineRule="auto"/>
              <w:jc w:val="left"/>
              <w:textAlignment w:val="auto"/>
              <w:rPr>
                <w:lang w:val="en-US"/>
              </w:rPr>
            </w:pPr>
            <w:r w:rsidRPr="002E4D67">
              <w:rPr>
                <w:lang w:val="en-US"/>
              </w:rPr>
              <w:t>will not alter the rule that yacht construction is financed exclusively via WYND Bonds.</w:t>
            </w:r>
          </w:p>
          <w:p w14:paraId="6E4C993C" w14:textId="3DF9028A" w:rsidR="002B49A9" w:rsidRPr="002E4D67" w:rsidRDefault="002E4D67" w:rsidP="002B49A9">
            <w:pPr>
              <w:pStyle w:val="StandardWeb"/>
              <w:rPr>
                <w:lang w:val="en-US"/>
              </w:rPr>
            </w:pPr>
            <w:r w:rsidRPr="002E4D67">
              <w:rPr>
                <w:lang w:val="en-US"/>
              </w:rPr>
              <w:lastRenderedPageBreak/>
              <w:t>All updates will be communicated transparently through official WYND channels.</w:t>
            </w:r>
          </w:p>
        </w:tc>
      </w:tr>
      <w:tr w:rsidR="009A7F1E" w:rsidRPr="002E4D67" w14:paraId="0E329F79" w14:textId="77777777" w:rsidTr="00D64090">
        <w:tc>
          <w:tcPr>
            <w:tcW w:w="1985" w:type="dxa"/>
          </w:tcPr>
          <w:p w14:paraId="2FCE81A6" w14:textId="014B1D7B" w:rsidR="009A7F1E" w:rsidRPr="002E4D67" w:rsidRDefault="009A7F1E" w:rsidP="009A7F1E">
            <w:pPr>
              <w:pStyle w:val="berschrift1"/>
              <w:keepNext w:val="0"/>
              <w:keepLines w:val="0"/>
              <w:rPr>
                <w:lang w:val="en-US"/>
              </w:rPr>
            </w:pPr>
            <w:bookmarkStart w:id="27" w:name="_Toc212017811"/>
            <w:bookmarkStart w:id="28" w:name="_Toc213164127"/>
            <w:bookmarkStart w:id="29" w:name="_Toc213179110"/>
            <w:r w:rsidRPr="002E4D67">
              <w:rPr>
                <w:lang w:val="en-US"/>
              </w:rPr>
              <w:lastRenderedPageBreak/>
              <w:t>09 Information about the quality and quantity of goods or services to which the utility tokens give access and restrictions on the transferability</w:t>
            </w:r>
            <w:bookmarkEnd w:id="27"/>
            <w:bookmarkEnd w:id="28"/>
            <w:bookmarkEnd w:id="29"/>
          </w:p>
        </w:tc>
        <w:tc>
          <w:tcPr>
            <w:tcW w:w="6371" w:type="dxa"/>
          </w:tcPr>
          <w:p w14:paraId="539C85E8" w14:textId="77777777" w:rsidR="004E1A63" w:rsidRDefault="004E1A63" w:rsidP="004E1A63">
            <w:pPr>
              <w:pStyle w:val="StandardWeb"/>
            </w:pPr>
            <w:r>
              <w:t xml:space="preserve">The </w:t>
            </w:r>
            <w:r>
              <w:rPr>
                <w:rStyle w:val="Fett"/>
              </w:rPr>
              <w:t>$WYND Utility Token</w:t>
            </w:r>
            <w:r>
              <w:t xml:space="preserve"> provides access rights to specific services offered by </w:t>
            </w:r>
            <w:r>
              <w:rPr>
                <w:rStyle w:val="Fett"/>
              </w:rPr>
              <w:t>WYND Capital GmbH</w:t>
            </w:r>
            <w:r>
              <w:t xml:space="preserve">. </w:t>
            </w:r>
          </w:p>
          <w:p w14:paraId="5582D2AF" w14:textId="7B8B3528" w:rsidR="004E1A63" w:rsidRPr="004E1A63" w:rsidRDefault="004E1A63" w:rsidP="004E1A63">
            <w:pPr>
              <w:pStyle w:val="StandardWeb"/>
              <w:rPr>
                <w:b/>
                <w:bCs/>
              </w:rPr>
            </w:pPr>
            <w:r w:rsidRPr="004E1A63">
              <w:rPr>
                <w:b/>
                <w:bCs/>
              </w:rPr>
              <w:t>1</w:t>
            </w:r>
            <w:r>
              <w:t xml:space="preserve">. </w:t>
            </w:r>
            <w:r w:rsidRPr="004E1A63">
              <w:rPr>
                <w:b/>
                <w:bCs/>
              </w:rPr>
              <w:t>Wynd Services:</w:t>
            </w:r>
          </w:p>
          <w:p w14:paraId="16D97279" w14:textId="77777777" w:rsidR="004E1A63" w:rsidRDefault="004E1A63" w:rsidP="004E1A63">
            <w:pPr>
              <w:pStyle w:val="StandardWeb"/>
            </w:pPr>
            <w:r>
              <w:rPr>
                <w:rStyle w:val="Fett"/>
              </w:rPr>
              <w:t>(a) WYND Discovery Weeks</w:t>
            </w:r>
          </w:p>
          <w:p w14:paraId="2F0938D7" w14:textId="77777777" w:rsidR="004E1A63" w:rsidRDefault="004E1A63" w:rsidP="004E1A63">
            <w:pPr>
              <w:pStyle w:val="StandardWeb"/>
              <w:numPr>
                <w:ilvl w:val="0"/>
                <w:numId w:val="85"/>
              </w:numPr>
              <w:overflowPunct/>
              <w:autoSpaceDE/>
              <w:autoSpaceDN/>
              <w:adjustRightInd/>
              <w:spacing w:before="100" w:beforeAutospacing="1" w:after="100" w:afterAutospacing="1" w:line="240" w:lineRule="auto"/>
              <w:jc w:val="left"/>
              <w:textAlignment w:val="auto"/>
            </w:pPr>
            <w:r>
              <w:t>Boutique travel experiences in the Red Sea</w:t>
            </w:r>
          </w:p>
          <w:p w14:paraId="0FD66261" w14:textId="3165D673" w:rsidR="004E1A63" w:rsidRDefault="004E1A63" w:rsidP="004E1A63">
            <w:pPr>
              <w:pStyle w:val="StandardWeb"/>
              <w:numPr>
                <w:ilvl w:val="0"/>
                <w:numId w:val="85"/>
              </w:numPr>
              <w:overflowPunct/>
              <w:autoSpaceDE/>
              <w:autoSpaceDN/>
              <w:adjustRightInd/>
              <w:spacing w:before="100" w:beforeAutospacing="1" w:after="100" w:afterAutospacing="1" w:line="240" w:lineRule="auto"/>
              <w:jc w:val="left"/>
              <w:textAlignment w:val="auto"/>
            </w:pPr>
            <w:r>
              <w:t>Up to 22 guests and 13 crew</w:t>
            </w:r>
          </w:p>
          <w:p w14:paraId="2E88E7A6" w14:textId="77777777" w:rsidR="004E1A63" w:rsidRDefault="004E1A63" w:rsidP="004E1A63">
            <w:pPr>
              <w:pStyle w:val="StandardWeb"/>
              <w:numPr>
                <w:ilvl w:val="0"/>
                <w:numId w:val="85"/>
              </w:numPr>
              <w:overflowPunct/>
              <w:autoSpaceDE/>
              <w:autoSpaceDN/>
              <w:adjustRightInd/>
              <w:spacing w:before="100" w:beforeAutospacing="1" w:after="100" w:afterAutospacing="1" w:line="240" w:lineRule="auto"/>
              <w:jc w:val="left"/>
              <w:textAlignment w:val="auto"/>
            </w:pPr>
            <w:r>
              <w:t>Accommodation, hospitality, guided activities, water sports</w:t>
            </w:r>
          </w:p>
          <w:p w14:paraId="552B9EEC" w14:textId="77777777" w:rsidR="004E1A63" w:rsidRDefault="004E1A63" w:rsidP="004E1A63">
            <w:pPr>
              <w:pStyle w:val="StandardWeb"/>
              <w:numPr>
                <w:ilvl w:val="0"/>
                <w:numId w:val="85"/>
              </w:numPr>
              <w:overflowPunct/>
              <w:autoSpaceDE/>
              <w:autoSpaceDN/>
              <w:adjustRightInd/>
              <w:spacing w:before="100" w:beforeAutospacing="1" w:after="100" w:afterAutospacing="1" w:line="240" w:lineRule="auto"/>
              <w:jc w:val="left"/>
              <w:textAlignment w:val="auto"/>
            </w:pPr>
            <w:r>
              <w:t>Already operational and available immediately</w:t>
            </w:r>
          </w:p>
          <w:p w14:paraId="057CB8DA" w14:textId="50384EB3" w:rsidR="004E1A63" w:rsidRDefault="004E1A63" w:rsidP="004E1A63">
            <w:pPr>
              <w:pStyle w:val="StandardWeb"/>
            </w:pPr>
            <w:r>
              <w:rPr>
                <w:rStyle w:val="Fett"/>
              </w:rPr>
              <w:t>(b) WYND Yacht (expected availability from 2029)</w:t>
            </w:r>
          </w:p>
          <w:p w14:paraId="1CCC3301" w14:textId="77777777" w:rsidR="004E1A63" w:rsidRDefault="004E1A63" w:rsidP="004E1A63">
            <w:pPr>
              <w:pStyle w:val="StandardWeb"/>
              <w:numPr>
                <w:ilvl w:val="0"/>
                <w:numId w:val="86"/>
              </w:numPr>
              <w:overflowPunct/>
              <w:autoSpaceDE/>
              <w:autoSpaceDN/>
              <w:adjustRightInd/>
              <w:spacing w:before="100" w:beforeAutospacing="1" w:after="100" w:afterAutospacing="1" w:line="240" w:lineRule="auto"/>
              <w:jc w:val="left"/>
              <w:textAlignment w:val="auto"/>
            </w:pPr>
            <w:r>
              <w:t>Access to a 52-metre yacht operated by WYND Capital GmbH</w:t>
            </w:r>
          </w:p>
          <w:p w14:paraId="60CD5C7E" w14:textId="77777777" w:rsidR="004E1A63" w:rsidRDefault="004E1A63" w:rsidP="004E1A63">
            <w:pPr>
              <w:pStyle w:val="StandardWeb"/>
              <w:numPr>
                <w:ilvl w:val="0"/>
                <w:numId w:val="86"/>
              </w:numPr>
              <w:overflowPunct/>
              <w:autoSpaceDE/>
              <w:autoSpaceDN/>
              <w:adjustRightInd/>
              <w:spacing w:before="100" w:beforeAutospacing="1" w:after="100" w:afterAutospacing="1" w:line="240" w:lineRule="auto"/>
              <w:jc w:val="left"/>
              <w:textAlignment w:val="auto"/>
            </w:pPr>
            <w:r>
              <w:t>Up to 12 guests and 11 crew</w:t>
            </w:r>
          </w:p>
          <w:p w14:paraId="41623147" w14:textId="77777777" w:rsidR="004E1A63" w:rsidRDefault="004E1A63" w:rsidP="004E1A63">
            <w:pPr>
              <w:pStyle w:val="StandardWeb"/>
              <w:numPr>
                <w:ilvl w:val="0"/>
                <w:numId w:val="86"/>
              </w:numPr>
              <w:overflowPunct/>
              <w:autoSpaceDE/>
              <w:autoSpaceDN/>
              <w:adjustRightInd/>
              <w:spacing w:before="100" w:beforeAutospacing="1" w:after="100" w:afterAutospacing="1" w:line="240" w:lineRule="auto"/>
              <w:jc w:val="left"/>
              <w:textAlignment w:val="auto"/>
            </w:pPr>
            <w:r>
              <w:t>Weekly bookings, cabin bookings, and curated voyages</w:t>
            </w:r>
          </w:p>
          <w:p w14:paraId="6F095305" w14:textId="77777777" w:rsidR="004E1A63" w:rsidRDefault="004E1A63" w:rsidP="004E1A63">
            <w:pPr>
              <w:pStyle w:val="StandardWeb"/>
              <w:numPr>
                <w:ilvl w:val="0"/>
                <w:numId w:val="86"/>
              </w:numPr>
              <w:overflowPunct/>
              <w:autoSpaceDE/>
              <w:autoSpaceDN/>
              <w:adjustRightInd/>
              <w:spacing w:before="100" w:beforeAutospacing="1" w:after="100" w:afterAutospacing="1" w:line="240" w:lineRule="auto"/>
              <w:jc w:val="left"/>
              <w:textAlignment w:val="auto"/>
            </w:pPr>
            <w:r>
              <w:t>Subject to completion of yacht construction and operational deployment</w:t>
            </w:r>
          </w:p>
          <w:p w14:paraId="53C2EC0A" w14:textId="77777777" w:rsidR="004E1A63" w:rsidRDefault="004E1A63" w:rsidP="004E1A63">
            <w:pPr>
              <w:pStyle w:val="StandardWeb"/>
            </w:pPr>
            <w:r>
              <w:rPr>
                <w:rStyle w:val="Fett"/>
              </w:rPr>
              <w:t>(c) WYND Concierge &amp; Experiences</w:t>
            </w:r>
          </w:p>
          <w:p w14:paraId="77E613D2" w14:textId="77777777" w:rsidR="004E1A63" w:rsidRDefault="004E1A63" w:rsidP="004E1A63">
            <w:pPr>
              <w:pStyle w:val="StandardWeb"/>
              <w:numPr>
                <w:ilvl w:val="0"/>
                <w:numId w:val="87"/>
              </w:numPr>
              <w:overflowPunct/>
              <w:autoSpaceDE/>
              <w:autoSpaceDN/>
              <w:adjustRightInd/>
              <w:spacing w:before="100" w:beforeAutospacing="1" w:after="100" w:afterAutospacing="1" w:line="240" w:lineRule="auto"/>
              <w:jc w:val="left"/>
              <w:textAlignment w:val="auto"/>
            </w:pPr>
            <w:r>
              <w:t>Travel assistance, booking coordination, curated activities, partner offers</w:t>
            </w:r>
          </w:p>
          <w:p w14:paraId="50935779" w14:textId="77777777" w:rsidR="004E1A63" w:rsidRDefault="004E1A63" w:rsidP="004E1A63">
            <w:pPr>
              <w:pStyle w:val="StandardWeb"/>
            </w:pPr>
            <w:r>
              <w:rPr>
                <w:rStyle w:val="Fett"/>
              </w:rPr>
              <w:t>(d) Future WYND services</w:t>
            </w:r>
          </w:p>
          <w:p w14:paraId="3F8FA449" w14:textId="77777777" w:rsidR="004E1A63" w:rsidRDefault="004E1A63" w:rsidP="004E1A63">
            <w:pPr>
              <w:pStyle w:val="StandardWeb"/>
              <w:numPr>
                <w:ilvl w:val="0"/>
                <w:numId w:val="88"/>
              </w:numPr>
              <w:overflowPunct/>
              <w:autoSpaceDE/>
              <w:autoSpaceDN/>
              <w:adjustRightInd/>
              <w:spacing w:before="100" w:beforeAutospacing="1" w:after="100" w:afterAutospacing="1" w:line="240" w:lineRule="auto"/>
              <w:jc w:val="left"/>
              <w:textAlignment w:val="auto"/>
            </w:pPr>
            <w:r>
              <w:t>Planned expansion into air mobility (WYND Jet, WYND Heli)</w:t>
            </w:r>
          </w:p>
          <w:p w14:paraId="049E4A82" w14:textId="77777777" w:rsidR="004E1A63" w:rsidRDefault="004E1A63" w:rsidP="004E1A63">
            <w:pPr>
              <w:pStyle w:val="StandardWeb"/>
              <w:numPr>
                <w:ilvl w:val="0"/>
                <w:numId w:val="88"/>
              </w:numPr>
              <w:overflowPunct/>
              <w:autoSpaceDE/>
              <w:autoSpaceDN/>
              <w:adjustRightInd/>
              <w:spacing w:before="100" w:beforeAutospacing="1" w:after="100" w:afterAutospacing="1" w:line="240" w:lineRule="auto"/>
              <w:jc w:val="left"/>
              <w:textAlignment w:val="auto"/>
            </w:pPr>
            <w:r>
              <w:t>Additional travel and lifestyle offerings as the ecosystem develops</w:t>
            </w:r>
          </w:p>
          <w:p w14:paraId="6D96F214" w14:textId="26834B59" w:rsidR="004E1A63" w:rsidRDefault="004E1A63" w:rsidP="004E1A63">
            <w:pPr>
              <w:pStyle w:val="StandardWeb"/>
            </w:pPr>
            <w:r>
              <w:t>All services are delivered based on availability and according to WYND’s booking and operational policies.</w:t>
            </w:r>
          </w:p>
          <w:p w14:paraId="52D1EDAA" w14:textId="023CEA85" w:rsidR="004E1A63" w:rsidRDefault="004E1A63" w:rsidP="004E1A63">
            <w:pPr>
              <w:pStyle w:val="berschrift2"/>
              <w:numPr>
                <w:ilvl w:val="0"/>
                <w:numId w:val="0"/>
              </w:numPr>
              <w:ind w:left="792" w:hanging="792"/>
            </w:pPr>
            <w:r>
              <w:rPr>
                <w:rStyle w:val="Fett"/>
                <w:b/>
                <w:bCs/>
              </w:rPr>
              <w:t>2 Quantity and Scope of Access</w:t>
            </w:r>
          </w:p>
          <w:p w14:paraId="5A976B19" w14:textId="77777777" w:rsidR="004E1A63" w:rsidRDefault="004E1A63" w:rsidP="004E1A63">
            <w:pPr>
              <w:pStyle w:val="StandardWeb"/>
            </w:pPr>
            <w:r>
              <w:t>Holders of the $WYND Utility Token may use tokens:</w:t>
            </w:r>
          </w:p>
          <w:p w14:paraId="7DF47DD6" w14:textId="77777777" w:rsidR="004E1A63" w:rsidRDefault="004E1A63" w:rsidP="004E1A63">
            <w:pPr>
              <w:pStyle w:val="StandardWeb"/>
              <w:numPr>
                <w:ilvl w:val="0"/>
                <w:numId w:val="89"/>
              </w:numPr>
              <w:overflowPunct/>
              <w:autoSpaceDE/>
              <w:autoSpaceDN/>
              <w:adjustRightInd/>
              <w:spacing w:before="100" w:beforeAutospacing="1" w:after="100" w:afterAutospacing="1" w:line="240" w:lineRule="auto"/>
              <w:jc w:val="left"/>
              <w:textAlignment w:val="auto"/>
            </w:pPr>
            <w:r>
              <w:t>as a means of payment for any WYND service offered by WYND Capital GmbH;</w:t>
            </w:r>
          </w:p>
          <w:p w14:paraId="278C8031" w14:textId="77777777" w:rsidR="004E1A63" w:rsidRDefault="004E1A63" w:rsidP="004E1A63">
            <w:pPr>
              <w:pStyle w:val="StandardWeb"/>
              <w:numPr>
                <w:ilvl w:val="0"/>
                <w:numId w:val="89"/>
              </w:numPr>
              <w:overflowPunct/>
              <w:autoSpaceDE/>
              <w:autoSpaceDN/>
              <w:adjustRightInd/>
              <w:spacing w:before="100" w:beforeAutospacing="1" w:after="100" w:afterAutospacing="1" w:line="240" w:lineRule="auto"/>
              <w:jc w:val="left"/>
              <w:textAlignment w:val="auto"/>
            </w:pPr>
            <w:r>
              <w:lastRenderedPageBreak/>
              <w:t xml:space="preserve">with a </w:t>
            </w:r>
            <w:r>
              <w:rPr>
                <w:rStyle w:val="Fett"/>
              </w:rPr>
              <w:t>15% discount</w:t>
            </w:r>
            <w:r>
              <w:t xml:space="preserve"> on the applicable service price when payment is made in $WYND Tokens;</w:t>
            </w:r>
          </w:p>
          <w:p w14:paraId="541E9E9B" w14:textId="77777777" w:rsidR="004E1A63" w:rsidRDefault="004E1A63" w:rsidP="004E1A63">
            <w:pPr>
              <w:pStyle w:val="StandardWeb"/>
              <w:numPr>
                <w:ilvl w:val="0"/>
                <w:numId w:val="89"/>
              </w:numPr>
              <w:overflowPunct/>
              <w:autoSpaceDE/>
              <w:autoSpaceDN/>
              <w:adjustRightInd/>
              <w:spacing w:before="100" w:beforeAutospacing="1" w:after="100" w:afterAutospacing="1" w:line="240" w:lineRule="auto"/>
              <w:jc w:val="left"/>
              <w:textAlignment w:val="auto"/>
            </w:pPr>
            <w:r>
              <w:t>to access the token-based membership tier system (TIER), which provides</w:t>
            </w:r>
          </w:p>
          <w:p w14:paraId="35B7931A" w14:textId="77777777" w:rsidR="004E1A63" w:rsidRDefault="004E1A63" w:rsidP="004E1A63">
            <w:pPr>
              <w:pStyle w:val="StandardWeb"/>
              <w:numPr>
                <w:ilvl w:val="1"/>
                <w:numId w:val="89"/>
              </w:numPr>
              <w:overflowPunct/>
              <w:autoSpaceDE/>
              <w:autoSpaceDN/>
              <w:adjustRightInd/>
              <w:spacing w:before="100" w:beforeAutospacing="1" w:after="100" w:afterAutospacing="1" w:line="240" w:lineRule="auto"/>
              <w:jc w:val="left"/>
              <w:textAlignment w:val="auto"/>
            </w:pPr>
            <w:r>
              <w:t>priority booking rights,</w:t>
            </w:r>
          </w:p>
          <w:p w14:paraId="5E930A69" w14:textId="77777777" w:rsidR="004E1A63" w:rsidRDefault="004E1A63" w:rsidP="004E1A63">
            <w:pPr>
              <w:pStyle w:val="StandardWeb"/>
              <w:numPr>
                <w:ilvl w:val="1"/>
                <w:numId w:val="89"/>
              </w:numPr>
              <w:overflowPunct/>
              <w:autoSpaceDE/>
              <w:autoSpaceDN/>
              <w:adjustRightInd/>
              <w:spacing w:before="100" w:beforeAutospacing="1" w:after="100" w:afterAutospacing="1" w:line="240" w:lineRule="auto"/>
              <w:jc w:val="left"/>
              <w:textAlignment w:val="auto"/>
            </w:pPr>
            <w:r>
              <w:t>access to selected services, and</w:t>
            </w:r>
          </w:p>
          <w:p w14:paraId="4A03404D" w14:textId="77777777" w:rsidR="004E1A63" w:rsidRDefault="004E1A63" w:rsidP="004E1A63">
            <w:pPr>
              <w:pStyle w:val="StandardWeb"/>
              <w:numPr>
                <w:ilvl w:val="1"/>
                <w:numId w:val="89"/>
              </w:numPr>
              <w:overflowPunct/>
              <w:autoSpaceDE/>
              <w:autoSpaceDN/>
              <w:adjustRightInd/>
              <w:spacing w:before="100" w:beforeAutospacing="1" w:after="100" w:afterAutospacing="1" w:line="240" w:lineRule="auto"/>
              <w:jc w:val="left"/>
              <w:textAlignment w:val="auto"/>
            </w:pPr>
            <w:r>
              <w:t>eligibility for certain exclusive events.</w:t>
            </w:r>
          </w:p>
          <w:p w14:paraId="79C6A1DC" w14:textId="77777777" w:rsidR="004E1A63" w:rsidRDefault="004E1A63" w:rsidP="004E1A63">
            <w:pPr>
              <w:pStyle w:val="StandardWeb"/>
            </w:pPr>
            <w:r>
              <w:t>The quantity of services available to a token holder is not fixed and depends on:</w:t>
            </w:r>
          </w:p>
          <w:p w14:paraId="543C7799" w14:textId="77777777" w:rsidR="004E1A63" w:rsidRDefault="004E1A63" w:rsidP="004E1A63">
            <w:pPr>
              <w:pStyle w:val="StandardWeb"/>
              <w:numPr>
                <w:ilvl w:val="0"/>
                <w:numId w:val="90"/>
              </w:numPr>
              <w:overflowPunct/>
              <w:autoSpaceDE/>
              <w:autoSpaceDN/>
              <w:adjustRightInd/>
              <w:spacing w:before="100" w:beforeAutospacing="1" w:after="100" w:afterAutospacing="1" w:line="240" w:lineRule="auto"/>
              <w:jc w:val="left"/>
              <w:textAlignment w:val="auto"/>
            </w:pPr>
            <w:r>
              <w:t>service availability (e.g., number of cabins, travel slots, event capacity),</w:t>
            </w:r>
          </w:p>
          <w:p w14:paraId="2EC4FA08" w14:textId="77777777" w:rsidR="004E1A63" w:rsidRDefault="004E1A63" w:rsidP="004E1A63">
            <w:pPr>
              <w:pStyle w:val="StandardWeb"/>
              <w:numPr>
                <w:ilvl w:val="0"/>
                <w:numId w:val="90"/>
              </w:numPr>
              <w:overflowPunct/>
              <w:autoSpaceDE/>
              <w:autoSpaceDN/>
              <w:adjustRightInd/>
              <w:spacing w:before="100" w:beforeAutospacing="1" w:after="100" w:afterAutospacing="1" w:line="240" w:lineRule="auto"/>
              <w:jc w:val="left"/>
              <w:textAlignment w:val="auto"/>
            </w:pPr>
            <w:r>
              <w:t>booking windows and seasonal limitations,</w:t>
            </w:r>
          </w:p>
          <w:p w14:paraId="55B8C964" w14:textId="77777777" w:rsidR="004E1A63" w:rsidRDefault="004E1A63" w:rsidP="004E1A63">
            <w:pPr>
              <w:pStyle w:val="StandardWeb"/>
              <w:numPr>
                <w:ilvl w:val="0"/>
                <w:numId w:val="90"/>
              </w:numPr>
              <w:overflowPunct/>
              <w:autoSpaceDE/>
              <w:autoSpaceDN/>
              <w:adjustRightInd/>
              <w:spacing w:before="100" w:beforeAutospacing="1" w:after="100" w:afterAutospacing="1" w:line="240" w:lineRule="auto"/>
              <w:jc w:val="left"/>
              <w:textAlignment w:val="auto"/>
            </w:pPr>
            <w:r>
              <w:t>status level (TIER) where applicable.</w:t>
            </w:r>
          </w:p>
          <w:p w14:paraId="478B9100" w14:textId="76D58088" w:rsidR="004E1A63" w:rsidRDefault="004E1A63" w:rsidP="004E1A63">
            <w:pPr>
              <w:pStyle w:val="StandardWeb"/>
            </w:pPr>
            <w:r>
              <w:t xml:space="preserve">The token does </w:t>
            </w:r>
            <w:r>
              <w:rPr>
                <w:rStyle w:val="Fett"/>
              </w:rPr>
              <w:t>not</w:t>
            </w:r>
            <w:r>
              <w:t xml:space="preserve"> guarantee availability of any specific service at a specific time.</w:t>
            </w:r>
          </w:p>
          <w:p w14:paraId="5046838B" w14:textId="59026173" w:rsidR="004E1A63" w:rsidRDefault="004E1A63" w:rsidP="004E1A63">
            <w:pPr>
              <w:pStyle w:val="berschrift2"/>
              <w:numPr>
                <w:ilvl w:val="0"/>
                <w:numId w:val="0"/>
              </w:numPr>
              <w:ind w:left="792" w:hanging="792"/>
            </w:pPr>
            <w:r>
              <w:rPr>
                <w:rStyle w:val="Fett"/>
                <w:b/>
                <w:bCs/>
              </w:rPr>
              <w:t>3 Restrictions on Transferability</w:t>
            </w:r>
          </w:p>
          <w:p w14:paraId="3C313D78" w14:textId="77777777" w:rsidR="004E1A63" w:rsidRDefault="004E1A63" w:rsidP="004E1A63">
            <w:pPr>
              <w:pStyle w:val="StandardWeb"/>
            </w:pPr>
            <w:r>
              <w:t xml:space="preserve">$WYND Tokens are </w:t>
            </w:r>
            <w:r w:rsidRPr="004E1A63">
              <w:rPr>
                <w:rStyle w:val="Fett"/>
                <w:b w:val="0"/>
                <w:bCs w:val="0"/>
              </w:rPr>
              <w:t>transferable</w:t>
            </w:r>
            <w:r w:rsidRPr="004E1A63">
              <w:rPr>
                <w:b/>
                <w:bCs/>
              </w:rPr>
              <w:t>,</w:t>
            </w:r>
            <w:r>
              <w:t xml:space="preserve"> subject to the following restrictions:</w:t>
            </w:r>
          </w:p>
          <w:p w14:paraId="480FF37E" w14:textId="77777777" w:rsidR="004E1A63" w:rsidRDefault="004E1A63" w:rsidP="004E1A63">
            <w:pPr>
              <w:pStyle w:val="StandardWeb"/>
              <w:numPr>
                <w:ilvl w:val="0"/>
                <w:numId w:val="91"/>
              </w:numPr>
              <w:overflowPunct/>
              <w:autoSpaceDE/>
              <w:autoSpaceDN/>
              <w:adjustRightInd/>
              <w:spacing w:before="100" w:beforeAutospacing="1" w:after="100" w:afterAutospacing="1" w:line="240" w:lineRule="auto"/>
              <w:jc w:val="left"/>
              <w:textAlignment w:val="auto"/>
            </w:pPr>
            <w:r>
              <w:rPr>
                <w:rStyle w:val="Fett"/>
              </w:rPr>
              <w:t>Staked tokens</w:t>
            </w:r>
          </w:p>
          <w:p w14:paraId="26FD0CE1" w14:textId="77777777" w:rsidR="004E1A63" w:rsidRDefault="004E1A63" w:rsidP="004E1A63">
            <w:pPr>
              <w:pStyle w:val="StandardWeb"/>
              <w:numPr>
                <w:ilvl w:val="1"/>
                <w:numId w:val="91"/>
              </w:numPr>
              <w:overflowPunct/>
              <w:autoSpaceDE/>
              <w:autoSpaceDN/>
              <w:adjustRightInd/>
              <w:spacing w:before="100" w:beforeAutospacing="1" w:after="100" w:afterAutospacing="1" w:line="240" w:lineRule="auto"/>
              <w:jc w:val="left"/>
              <w:textAlignment w:val="auto"/>
            </w:pPr>
            <w:r>
              <w:t>Tokens locked in a staking period (3–36 months) cannot be transferred until the staking period expires.</w:t>
            </w:r>
          </w:p>
          <w:p w14:paraId="54E3E0FD" w14:textId="77777777" w:rsidR="004E1A63" w:rsidRDefault="004E1A63" w:rsidP="004E1A63">
            <w:pPr>
              <w:pStyle w:val="StandardWeb"/>
              <w:numPr>
                <w:ilvl w:val="1"/>
                <w:numId w:val="91"/>
              </w:numPr>
              <w:overflowPunct/>
              <w:autoSpaceDE/>
              <w:autoSpaceDN/>
              <w:adjustRightInd/>
              <w:spacing w:before="100" w:beforeAutospacing="1" w:after="100" w:afterAutospacing="1" w:line="240" w:lineRule="auto"/>
              <w:jc w:val="left"/>
              <w:textAlignment w:val="auto"/>
            </w:pPr>
            <w:r>
              <w:t>After expiration, the same number of tokens is released 1:1.</w:t>
            </w:r>
          </w:p>
          <w:p w14:paraId="453B2E2A" w14:textId="77777777" w:rsidR="004E1A63" w:rsidRDefault="004E1A63" w:rsidP="004E1A63">
            <w:pPr>
              <w:pStyle w:val="StandardWeb"/>
              <w:numPr>
                <w:ilvl w:val="0"/>
                <w:numId w:val="91"/>
              </w:numPr>
              <w:overflowPunct/>
              <w:autoSpaceDE/>
              <w:autoSpaceDN/>
              <w:adjustRightInd/>
              <w:spacing w:before="100" w:beforeAutospacing="1" w:after="100" w:afterAutospacing="1" w:line="240" w:lineRule="auto"/>
              <w:jc w:val="left"/>
              <w:textAlignment w:val="auto"/>
            </w:pPr>
            <w:r>
              <w:rPr>
                <w:rStyle w:val="Fett"/>
              </w:rPr>
              <w:t>Regulatory restrictions</w:t>
            </w:r>
          </w:p>
          <w:p w14:paraId="0A66DC73" w14:textId="77777777" w:rsidR="004E1A63" w:rsidRDefault="004E1A63" w:rsidP="004E1A63">
            <w:pPr>
              <w:pStyle w:val="StandardWeb"/>
              <w:numPr>
                <w:ilvl w:val="1"/>
                <w:numId w:val="91"/>
              </w:numPr>
              <w:overflowPunct/>
              <w:autoSpaceDE/>
              <w:autoSpaceDN/>
              <w:adjustRightInd/>
              <w:spacing w:before="100" w:beforeAutospacing="1" w:after="100" w:afterAutospacing="1" w:line="240" w:lineRule="auto"/>
              <w:jc w:val="left"/>
              <w:textAlignment w:val="auto"/>
            </w:pPr>
            <w:r>
              <w:t>Transfers may require successful completion of AML/KYC procedures.</w:t>
            </w:r>
          </w:p>
          <w:p w14:paraId="2723DD6E" w14:textId="77777777" w:rsidR="004E1A63" w:rsidRDefault="004E1A63" w:rsidP="004E1A63">
            <w:pPr>
              <w:pStyle w:val="StandardWeb"/>
              <w:numPr>
                <w:ilvl w:val="1"/>
                <w:numId w:val="91"/>
              </w:numPr>
              <w:overflowPunct/>
              <w:autoSpaceDE/>
              <w:autoSpaceDN/>
              <w:adjustRightInd/>
              <w:spacing w:before="100" w:beforeAutospacing="1" w:after="100" w:afterAutospacing="1" w:line="240" w:lineRule="auto"/>
              <w:jc w:val="left"/>
              <w:textAlignment w:val="auto"/>
            </w:pPr>
            <w:r>
              <w:t>Transfers may be restricted in jurisdictions where utility token transfers are prohibited.</w:t>
            </w:r>
          </w:p>
          <w:p w14:paraId="25F27A89" w14:textId="77777777" w:rsidR="004E1A63" w:rsidRDefault="004E1A63" w:rsidP="004E1A63">
            <w:pPr>
              <w:pStyle w:val="StandardWeb"/>
              <w:numPr>
                <w:ilvl w:val="0"/>
                <w:numId w:val="91"/>
              </w:numPr>
              <w:overflowPunct/>
              <w:autoSpaceDE/>
              <w:autoSpaceDN/>
              <w:adjustRightInd/>
              <w:spacing w:before="100" w:beforeAutospacing="1" w:after="100" w:afterAutospacing="1" w:line="240" w:lineRule="auto"/>
              <w:jc w:val="left"/>
              <w:textAlignment w:val="auto"/>
            </w:pPr>
            <w:r>
              <w:rPr>
                <w:rStyle w:val="Fett"/>
              </w:rPr>
              <w:t>Technical restrictions</w:t>
            </w:r>
          </w:p>
          <w:p w14:paraId="6253AEBD" w14:textId="77777777" w:rsidR="004E1A63" w:rsidRDefault="004E1A63" w:rsidP="004E1A63">
            <w:pPr>
              <w:pStyle w:val="StandardWeb"/>
              <w:numPr>
                <w:ilvl w:val="1"/>
                <w:numId w:val="91"/>
              </w:numPr>
              <w:overflowPunct/>
              <w:autoSpaceDE/>
              <w:autoSpaceDN/>
              <w:adjustRightInd/>
              <w:spacing w:before="100" w:beforeAutospacing="1" w:after="100" w:afterAutospacing="1" w:line="240" w:lineRule="auto"/>
              <w:jc w:val="left"/>
              <w:textAlignment w:val="auto"/>
            </w:pPr>
            <w:r>
              <w:t>Transfers require payment of blockchain gas fees.</w:t>
            </w:r>
          </w:p>
          <w:p w14:paraId="3F6361C0" w14:textId="77777777" w:rsidR="004E1A63" w:rsidRDefault="004E1A63" w:rsidP="004E1A63">
            <w:pPr>
              <w:pStyle w:val="StandardWeb"/>
              <w:numPr>
                <w:ilvl w:val="1"/>
                <w:numId w:val="91"/>
              </w:numPr>
              <w:overflowPunct/>
              <w:autoSpaceDE/>
              <w:autoSpaceDN/>
              <w:adjustRightInd/>
              <w:spacing w:before="100" w:beforeAutospacing="1" w:after="100" w:afterAutospacing="1" w:line="240" w:lineRule="auto"/>
              <w:jc w:val="left"/>
              <w:textAlignment w:val="auto"/>
            </w:pPr>
            <w:r>
              <w:t>Network conditions (e.g., congestion) may temporarily delay transfers.</w:t>
            </w:r>
          </w:p>
          <w:p w14:paraId="62A9DB77" w14:textId="77777777" w:rsidR="004E1A63" w:rsidRDefault="004E1A63" w:rsidP="004E1A63">
            <w:pPr>
              <w:pStyle w:val="StandardWeb"/>
            </w:pPr>
            <w:r>
              <w:t>No other contractual restrictions apply.</w:t>
            </w:r>
          </w:p>
          <w:p w14:paraId="29554078" w14:textId="77777777" w:rsidR="004E1A63" w:rsidRDefault="00D82AEF" w:rsidP="004E1A63">
            <w:r>
              <w:rPr>
                <w:noProof/>
              </w:rPr>
              <w:lastRenderedPageBreak/>
              <w:pict w14:anchorId="1C7C6B8D">
                <v:rect id="_x0000_i1025" alt="" style="width:453.6pt;height:.05pt;mso-width-percent:0;mso-height-percent:0;mso-width-percent:0;mso-height-percent:0" o:hralign="center" o:hrstd="t" o:hr="t" fillcolor="#a0a0a0" stroked="f"/>
              </w:pict>
            </w:r>
          </w:p>
          <w:p w14:paraId="46970613" w14:textId="77A46DD7" w:rsidR="004E1A63" w:rsidRDefault="004E1A63" w:rsidP="004E1A63">
            <w:pPr>
              <w:pStyle w:val="berschrift2"/>
              <w:numPr>
                <w:ilvl w:val="0"/>
                <w:numId w:val="0"/>
              </w:numPr>
              <w:ind w:left="792" w:hanging="792"/>
            </w:pPr>
            <w:r>
              <w:rPr>
                <w:rStyle w:val="Fett"/>
                <w:b/>
                <w:bCs/>
              </w:rPr>
              <w:t>4.  No Redemption Rights</w:t>
            </w:r>
          </w:p>
          <w:p w14:paraId="2AD0CF82" w14:textId="77777777" w:rsidR="004E1A63" w:rsidRDefault="004E1A63" w:rsidP="004E1A63">
            <w:pPr>
              <w:pStyle w:val="StandardWeb"/>
            </w:pPr>
            <w:r>
              <w:t xml:space="preserve">The $WYND Utility Token does </w:t>
            </w:r>
            <w:r>
              <w:rPr>
                <w:rStyle w:val="Fett"/>
              </w:rPr>
              <w:t>not</w:t>
            </w:r>
            <w:r>
              <w:t xml:space="preserve"> grant:</w:t>
            </w:r>
          </w:p>
          <w:p w14:paraId="27B58871" w14:textId="77777777" w:rsidR="004E1A63" w:rsidRDefault="004E1A63" w:rsidP="004E1A63">
            <w:pPr>
              <w:pStyle w:val="StandardWeb"/>
              <w:numPr>
                <w:ilvl w:val="0"/>
                <w:numId w:val="92"/>
              </w:numPr>
              <w:overflowPunct/>
              <w:autoSpaceDE/>
              <w:autoSpaceDN/>
              <w:adjustRightInd/>
              <w:spacing w:before="100" w:beforeAutospacing="1" w:after="100" w:afterAutospacing="1" w:line="240" w:lineRule="auto"/>
              <w:jc w:val="left"/>
              <w:textAlignment w:val="auto"/>
            </w:pPr>
            <w:r>
              <w:t>a right to redeem tokens for cash,</w:t>
            </w:r>
          </w:p>
          <w:p w14:paraId="7A402533" w14:textId="77777777" w:rsidR="004E1A63" w:rsidRDefault="004E1A63" w:rsidP="004E1A63">
            <w:pPr>
              <w:pStyle w:val="StandardWeb"/>
              <w:numPr>
                <w:ilvl w:val="0"/>
                <w:numId w:val="92"/>
              </w:numPr>
              <w:overflowPunct/>
              <w:autoSpaceDE/>
              <w:autoSpaceDN/>
              <w:adjustRightInd/>
              <w:spacing w:before="100" w:beforeAutospacing="1" w:after="100" w:afterAutospacing="1" w:line="240" w:lineRule="auto"/>
              <w:jc w:val="left"/>
              <w:textAlignment w:val="auto"/>
            </w:pPr>
            <w:r>
              <w:t>a right to reimbursement or repayment,</w:t>
            </w:r>
          </w:p>
          <w:p w14:paraId="09E000AE" w14:textId="77777777" w:rsidR="004E1A63" w:rsidRDefault="004E1A63" w:rsidP="004E1A63">
            <w:pPr>
              <w:pStyle w:val="StandardWeb"/>
              <w:numPr>
                <w:ilvl w:val="0"/>
                <w:numId w:val="92"/>
              </w:numPr>
              <w:overflowPunct/>
              <w:autoSpaceDE/>
              <w:autoSpaceDN/>
              <w:adjustRightInd/>
              <w:spacing w:before="100" w:beforeAutospacing="1" w:after="100" w:afterAutospacing="1" w:line="240" w:lineRule="auto"/>
              <w:jc w:val="left"/>
              <w:textAlignment w:val="auto"/>
            </w:pPr>
            <w:r>
              <w:t>a right to dividends, interest, profit-sharing, or financial returns of any kind.</w:t>
            </w:r>
          </w:p>
          <w:p w14:paraId="7186BCF1" w14:textId="77777777" w:rsidR="004E1A63" w:rsidRDefault="004E1A63" w:rsidP="004E1A63">
            <w:pPr>
              <w:pStyle w:val="StandardWeb"/>
            </w:pPr>
            <w:r>
              <w:t>The token solely provides access to the services listed above.</w:t>
            </w:r>
          </w:p>
          <w:p w14:paraId="2895E08E" w14:textId="590B706C" w:rsidR="00F82D7F" w:rsidRPr="002E4D67" w:rsidRDefault="00F82D7F" w:rsidP="009A7F1E">
            <w:pPr>
              <w:pStyle w:val="Textkrper"/>
              <w:spacing w:before="0" w:after="0" w:line="360" w:lineRule="auto"/>
              <w:rPr>
                <w:rFonts w:cstheme="minorHAnsi"/>
                <w:lang w:val="en-US"/>
              </w:rPr>
            </w:pPr>
          </w:p>
          <w:p w14:paraId="61477A7B" w14:textId="6A409F88" w:rsidR="00F82D7F" w:rsidRPr="002E4D67" w:rsidRDefault="00F82D7F" w:rsidP="009A7F1E">
            <w:pPr>
              <w:pStyle w:val="Textkrper"/>
              <w:spacing w:before="0" w:after="0" w:line="360" w:lineRule="auto"/>
              <w:rPr>
                <w:rFonts w:cstheme="minorHAnsi"/>
                <w:lang w:val="en-US"/>
              </w:rPr>
            </w:pPr>
          </w:p>
        </w:tc>
      </w:tr>
      <w:tr w:rsidR="009A7F1E" w:rsidRPr="002E4D67" w14:paraId="08D7A728" w14:textId="77777777" w:rsidTr="00D64090">
        <w:tc>
          <w:tcPr>
            <w:tcW w:w="1985" w:type="dxa"/>
          </w:tcPr>
          <w:p w14:paraId="2DC61ADF" w14:textId="6C5B4813" w:rsidR="009A7F1E" w:rsidRPr="002E4D67" w:rsidRDefault="009A7F1E" w:rsidP="009A7F1E">
            <w:pPr>
              <w:pStyle w:val="berschrift1"/>
              <w:keepNext w:val="0"/>
              <w:keepLines w:val="0"/>
              <w:rPr>
                <w:lang w:val="en-US"/>
              </w:rPr>
            </w:pPr>
            <w:bookmarkStart w:id="30" w:name="_Toc212017813"/>
            <w:bookmarkStart w:id="31" w:name="_Toc213164128"/>
            <w:bookmarkStart w:id="32" w:name="_Toc213179111"/>
            <w:r w:rsidRPr="002E4D67">
              <w:rPr>
                <w:lang w:val="en-US"/>
              </w:rPr>
              <w:lastRenderedPageBreak/>
              <w:t>10 Key information about the offer to the public or admission to trading</w:t>
            </w:r>
            <w:bookmarkEnd w:id="30"/>
            <w:bookmarkEnd w:id="31"/>
            <w:bookmarkEnd w:id="32"/>
          </w:p>
        </w:tc>
        <w:tc>
          <w:tcPr>
            <w:tcW w:w="6371" w:type="dxa"/>
          </w:tcPr>
          <w:p w14:paraId="24019D9A" w14:textId="31FE04FD" w:rsidR="009A7F1E" w:rsidRPr="002E4D67" w:rsidRDefault="009A7F1E" w:rsidP="009770E0">
            <w:pPr>
              <w:pStyle w:val="Textkrper"/>
              <w:jc w:val="left"/>
              <w:rPr>
                <w:rFonts w:cstheme="minorHAnsi"/>
                <w:bCs/>
                <w:iCs/>
                <w:lang w:val="en-US"/>
              </w:rPr>
            </w:pPr>
            <w:bookmarkStart w:id="33" w:name="_cp_change_172"/>
            <w:r w:rsidRPr="002E4D67">
              <w:rPr>
                <w:rStyle w:val="Fett"/>
                <w:rFonts w:cstheme="minorHAnsi"/>
                <w:lang w:val="en-US"/>
              </w:rPr>
              <w:t xml:space="preserve">Token Distribution </w:t>
            </w:r>
          </w:p>
          <w:p w14:paraId="6D07E673" w14:textId="1F4CABC0" w:rsidR="009A7F1E" w:rsidRPr="002E4D67" w:rsidRDefault="009A7F1E" w:rsidP="009770E0">
            <w:pPr>
              <w:pStyle w:val="Textkrper"/>
              <w:jc w:val="left"/>
              <w:rPr>
                <w:rFonts w:cstheme="minorHAnsi"/>
                <w:lang w:val="en-US"/>
              </w:rPr>
            </w:pPr>
            <w:r w:rsidRPr="002E4D67">
              <w:rPr>
                <w:rFonts w:cstheme="minorHAnsi"/>
                <w:lang w:val="en-US"/>
              </w:rPr>
              <w:t xml:space="preserve">The $WYND Utility Token has a </w:t>
            </w:r>
            <w:r w:rsidRPr="002E4D67">
              <w:rPr>
                <w:rStyle w:val="Fett"/>
                <w:rFonts w:cstheme="minorHAnsi"/>
                <w:lang w:val="en-US"/>
              </w:rPr>
              <w:t>fixed total supply of 100,000,000 tokens</w:t>
            </w:r>
            <w:r w:rsidRPr="002E4D67">
              <w:rPr>
                <w:rFonts w:cstheme="minorHAnsi"/>
                <w:lang w:val="en-US"/>
              </w:rPr>
              <w:t>, created once and permanently capped.</w:t>
            </w:r>
            <w:r w:rsidRPr="002E4D67">
              <w:rPr>
                <w:rFonts w:cstheme="minorHAnsi"/>
                <w:lang w:val="en-US"/>
              </w:rPr>
              <w:br/>
              <w:t>No further minting, reissuance, or inflationary mechanism will ever occur. All allocations, cliffs, and vesting schedules are transparently defined within audited smart contracts.</w:t>
            </w:r>
          </w:p>
          <w:p w14:paraId="77488986" w14:textId="0359E896" w:rsidR="009A7F1E" w:rsidRPr="002E4D67" w:rsidRDefault="009A7F1E" w:rsidP="009770E0">
            <w:pPr>
              <w:pStyle w:val="Textkrper"/>
              <w:jc w:val="left"/>
              <w:rPr>
                <w:rFonts w:cstheme="minorHAnsi"/>
                <w:lang w:val="en-US"/>
              </w:rPr>
            </w:pPr>
            <w:r w:rsidRPr="002E4D67">
              <w:rPr>
                <w:rFonts w:cstheme="minorHAnsi"/>
                <w:lang w:val="en-US"/>
              </w:rPr>
              <w:t xml:space="preserve">The overall fundraising target across all phases amounts to </w:t>
            </w:r>
            <w:r w:rsidRPr="002E4D67">
              <w:rPr>
                <w:rStyle w:val="Fett"/>
                <w:rFonts w:cstheme="minorHAnsi"/>
                <w:lang w:val="en-US"/>
              </w:rPr>
              <w:t>USD 11 million (maximum subscription volume)</w:t>
            </w:r>
            <w:r w:rsidRPr="002E4D67">
              <w:rPr>
                <w:rFonts w:cstheme="minorHAnsi"/>
                <w:lang w:val="en-US"/>
              </w:rPr>
              <w:t>.</w:t>
            </w:r>
            <w:r w:rsidRPr="002E4D67">
              <w:rPr>
                <w:rFonts w:cstheme="minorHAnsi"/>
                <w:lang w:val="en-US"/>
              </w:rPr>
              <w:br/>
              <w:t xml:space="preserve">The token is issued by </w:t>
            </w:r>
            <w:r w:rsidRPr="002E4D67">
              <w:rPr>
                <w:rStyle w:val="Fett"/>
                <w:rFonts w:cstheme="minorHAnsi"/>
                <w:lang w:val="en-US"/>
              </w:rPr>
              <w:t>WYND Capital GmbH, Hamburg, Germany</w:t>
            </w:r>
            <w:r w:rsidRPr="002E4D67">
              <w:rPr>
                <w:rFonts w:cstheme="minorHAnsi"/>
                <w:lang w:val="en-US"/>
              </w:rPr>
              <w:t xml:space="preserve">, </w:t>
            </w:r>
          </w:p>
          <w:p w14:paraId="34D0C953" w14:textId="77777777" w:rsidR="009A7F1E" w:rsidRPr="002E4D67" w:rsidRDefault="009A7F1E" w:rsidP="009770E0">
            <w:pPr>
              <w:pStyle w:val="Textkrper"/>
              <w:jc w:val="left"/>
              <w:rPr>
                <w:rFonts w:cstheme="minorHAnsi"/>
                <w:bCs/>
                <w:lang w:val="en-US"/>
              </w:rPr>
            </w:pPr>
            <w:r w:rsidRPr="002E4D67">
              <w:rPr>
                <w:rStyle w:val="Fett"/>
                <w:rFonts w:cstheme="minorHAnsi"/>
                <w:lang w:val="en-US"/>
              </w:rPr>
              <w:t>Funding Rounds</w:t>
            </w:r>
          </w:p>
          <w:p w14:paraId="34D6FA77" w14:textId="77777777" w:rsidR="009A7F1E" w:rsidRPr="002E4D67" w:rsidRDefault="009A7F1E" w:rsidP="009770E0">
            <w:pPr>
              <w:pStyle w:val="Textkrper"/>
              <w:jc w:val="left"/>
              <w:rPr>
                <w:rFonts w:cstheme="minorHAnsi"/>
                <w:lang w:val="en-US"/>
              </w:rPr>
            </w:pPr>
            <w:r w:rsidRPr="002E4D67">
              <w:rPr>
                <w:rFonts w:cstheme="minorHAnsi"/>
                <w:lang w:val="en-US"/>
              </w:rPr>
              <w:t>The public offering of the $WYND token takes place in five defined funding rounds.</w:t>
            </w:r>
          </w:p>
          <w:p w14:paraId="6EF2E31E" w14:textId="36536CB1" w:rsidR="009A7F1E" w:rsidRPr="002E4D67" w:rsidRDefault="009A7F1E" w:rsidP="009770E0">
            <w:pPr>
              <w:pStyle w:val="Textkrper"/>
              <w:jc w:val="left"/>
              <w:rPr>
                <w:rFonts w:cstheme="minorHAnsi"/>
                <w:lang w:val="en-US"/>
              </w:rPr>
            </w:pPr>
            <w:r w:rsidRPr="002E4D67">
              <w:rPr>
                <w:rFonts w:cstheme="minorHAnsi"/>
                <w:lang w:val="en-US"/>
              </w:rPr>
              <w:t>Each round has a fixed token price, cliff, vesting schedule, and allocation cap.</w:t>
            </w:r>
          </w:p>
          <w:tbl>
            <w:tblPr>
              <w:tblW w:w="6373"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877"/>
              <w:gridCol w:w="709"/>
              <w:gridCol w:w="709"/>
              <w:gridCol w:w="1020"/>
              <w:gridCol w:w="797"/>
              <w:gridCol w:w="844"/>
              <w:gridCol w:w="1417"/>
            </w:tblGrid>
            <w:tr w:rsidR="009A7F1E" w:rsidRPr="002E4D67" w14:paraId="18EB4F41" w14:textId="77777777" w:rsidTr="009770E0">
              <w:trPr>
                <w:tblHeader/>
                <w:tblCellSpacing w:w="15" w:type="dxa"/>
              </w:trPr>
              <w:tc>
                <w:tcPr>
                  <w:tcW w:w="832" w:type="dxa"/>
                  <w:vAlign w:val="center"/>
                  <w:hideMark/>
                </w:tcPr>
                <w:p w14:paraId="76FFDDF9" w14:textId="77777777" w:rsidR="009A7F1E" w:rsidRPr="002E4D67" w:rsidRDefault="009A7F1E" w:rsidP="009770E0">
                  <w:pPr>
                    <w:pStyle w:val="Textkrper"/>
                    <w:jc w:val="left"/>
                    <w:rPr>
                      <w:rFonts w:cstheme="minorHAnsi"/>
                      <w:lang w:val="en-US"/>
                    </w:rPr>
                  </w:pPr>
                  <w:r w:rsidRPr="002E4D67">
                    <w:rPr>
                      <w:rStyle w:val="Fett"/>
                      <w:rFonts w:cstheme="minorHAnsi"/>
                      <w:lang w:val="en-US"/>
                    </w:rPr>
                    <w:t>Round / Investor Group</w:t>
                  </w:r>
                </w:p>
              </w:tc>
              <w:tc>
                <w:tcPr>
                  <w:tcW w:w="679" w:type="dxa"/>
                  <w:vAlign w:val="center"/>
                  <w:hideMark/>
                </w:tcPr>
                <w:p w14:paraId="50F37ED6" w14:textId="77777777" w:rsidR="009A7F1E" w:rsidRPr="002E4D67" w:rsidRDefault="009A7F1E" w:rsidP="009770E0">
                  <w:pPr>
                    <w:pStyle w:val="Textkrper"/>
                    <w:jc w:val="left"/>
                    <w:rPr>
                      <w:rFonts w:cstheme="minorHAnsi"/>
                      <w:lang w:val="en-US"/>
                    </w:rPr>
                  </w:pPr>
                  <w:r w:rsidRPr="002E4D67">
                    <w:rPr>
                      <w:rStyle w:val="Fett"/>
                      <w:rFonts w:cstheme="minorHAnsi"/>
                      <w:lang w:val="en-US"/>
                    </w:rPr>
                    <w:t>Cliff (months)</w:t>
                  </w:r>
                </w:p>
              </w:tc>
              <w:tc>
                <w:tcPr>
                  <w:tcW w:w="679" w:type="dxa"/>
                  <w:vAlign w:val="center"/>
                  <w:hideMark/>
                </w:tcPr>
                <w:p w14:paraId="2855A871" w14:textId="77777777" w:rsidR="009A7F1E" w:rsidRPr="002E4D67" w:rsidRDefault="009A7F1E" w:rsidP="009770E0">
                  <w:pPr>
                    <w:pStyle w:val="Textkrper"/>
                    <w:jc w:val="left"/>
                    <w:rPr>
                      <w:rFonts w:cstheme="minorHAnsi"/>
                      <w:lang w:val="en-US"/>
                    </w:rPr>
                  </w:pPr>
                  <w:r w:rsidRPr="002E4D67">
                    <w:rPr>
                      <w:rStyle w:val="Fett"/>
                      <w:rFonts w:cstheme="minorHAnsi"/>
                      <w:lang w:val="en-US"/>
                    </w:rPr>
                    <w:t>Vesting (months)</w:t>
                  </w:r>
                </w:p>
              </w:tc>
              <w:tc>
                <w:tcPr>
                  <w:tcW w:w="990" w:type="dxa"/>
                  <w:vAlign w:val="center"/>
                  <w:hideMark/>
                </w:tcPr>
                <w:p w14:paraId="792BC293" w14:textId="77777777" w:rsidR="009A7F1E" w:rsidRPr="002E4D67" w:rsidRDefault="009A7F1E" w:rsidP="009770E0">
                  <w:pPr>
                    <w:pStyle w:val="Textkrper"/>
                    <w:jc w:val="left"/>
                    <w:rPr>
                      <w:rFonts w:cstheme="minorHAnsi"/>
                      <w:lang w:val="en-US"/>
                    </w:rPr>
                  </w:pPr>
                  <w:r w:rsidRPr="002E4D67">
                    <w:rPr>
                      <w:rStyle w:val="Fett"/>
                      <w:rFonts w:cstheme="minorHAnsi"/>
                      <w:lang w:val="en-US"/>
                    </w:rPr>
                    <w:t># Tokens</w:t>
                  </w:r>
                </w:p>
              </w:tc>
              <w:tc>
                <w:tcPr>
                  <w:tcW w:w="767" w:type="dxa"/>
                  <w:vAlign w:val="center"/>
                  <w:hideMark/>
                </w:tcPr>
                <w:p w14:paraId="1ED48534" w14:textId="77777777" w:rsidR="009A7F1E" w:rsidRPr="002E4D67" w:rsidRDefault="009A7F1E" w:rsidP="009770E0">
                  <w:pPr>
                    <w:pStyle w:val="Textkrper"/>
                    <w:jc w:val="left"/>
                    <w:rPr>
                      <w:rFonts w:cstheme="minorHAnsi"/>
                      <w:lang w:val="en-US"/>
                    </w:rPr>
                  </w:pPr>
                  <w:r w:rsidRPr="002E4D67">
                    <w:rPr>
                      <w:rStyle w:val="Fett"/>
                      <w:rFonts w:cstheme="minorHAnsi"/>
                      <w:lang w:val="en-US"/>
                    </w:rPr>
                    <w:t>% of Total Supply</w:t>
                  </w:r>
                </w:p>
              </w:tc>
              <w:tc>
                <w:tcPr>
                  <w:tcW w:w="814" w:type="dxa"/>
                  <w:vAlign w:val="center"/>
                  <w:hideMark/>
                </w:tcPr>
                <w:p w14:paraId="5A06E2D9" w14:textId="77777777" w:rsidR="009A7F1E" w:rsidRPr="002E4D67" w:rsidRDefault="009A7F1E" w:rsidP="009770E0">
                  <w:pPr>
                    <w:pStyle w:val="Textkrper"/>
                    <w:jc w:val="left"/>
                    <w:rPr>
                      <w:rFonts w:cstheme="minorHAnsi"/>
                      <w:lang w:val="en-US"/>
                    </w:rPr>
                  </w:pPr>
                  <w:r w:rsidRPr="002E4D67">
                    <w:rPr>
                      <w:rStyle w:val="Fett"/>
                      <w:rFonts w:cstheme="minorHAnsi"/>
                      <w:lang w:val="en-US"/>
                    </w:rPr>
                    <w:t>Price (USD)</w:t>
                  </w:r>
                </w:p>
              </w:tc>
              <w:tc>
                <w:tcPr>
                  <w:tcW w:w="1372" w:type="dxa"/>
                  <w:vAlign w:val="center"/>
                  <w:hideMark/>
                </w:tcPr>
                <w:p w14:paraId="55397932" w14:textId="77777777" w:rsidR="009A7F1E" w:rsidRPr="002E4D67" w:rsidRDefault="009A7F1E" w:rsidP="009770E0">
                  <w:pPr>
                    <w:pStyle w:val="Textkrper"/>
                    <w:jc w:val="left"/>
                    <w:rPr>
                      <w:rFonts w:cstheme="minorHAnsi"/>
                      <w:lang w:val="en-US"/>
                    </w:rPr>
                  </w:pPr>
                  <w:r w:rsidRPr="002E4D67">
                    <w:rPr>
                      <w:rStyle w:val="Fett"/>
                      <w:rFonts w:cstheme="minorHAnsi"/>
                      <w:lang w:val="en-US"/>
                    </w:rPr>
                    <w:t>Description</w:t>
                  </w:r>
                </w:p>
              </w:tc>
            </w:tr>
            <w:tr w:rsidR="009A7F1E" w:rsidRPr="002E4D67" w14:paraId="623AF7FD" w14:textId="77777777" w:rsidTr="009770E0">
              <w:trPr>
                <w:tblCellSpacing w:w="15" w:type="dxa"/>
              </w:trPr>
              <w:tc>
                <w:tcPr>
                  <w:tcW w:w="832" w:type="dxa"/>
                  <w:vAlign w:val="center"/>
                  <w:hideMark/>
                </w:tcPr>
                <w:p w14:paraId="164C2D29" w14:textId="77777777" w:rsidR="009A7F1E" w:rsidRPr="002E4D67" w:rsidRDefault="009A7F1E" w:rsidP="009770E0">
                  <w:pPr>
                    <w:pStyle w:val="Textkrper"/>
                    <w:jc w:val="left"/>
                    <w:rPr>
                      <w:rFonts w:cstheme="minorHAnsi"/>
                      <w:lang w:val="en-US"/>
                    </w:rPr>
                  </w:pPr>
                  <w:r w:rsidRPr="002E4D67">
                    <w:rPr>
                      <w:rFonts w:cstheme="minorHAnsi"/>
                      <w:lang w:val="en-US"/>
                    </w:rPr>
                    <w:t>Pre-Seed</w:t>
                  </w:r>
                </w:p>
              </w:tc>
              <w:tc>
                <w:tcPr>
                  <w:tcW w:w="679" w:type="dxa"/>
                  <w:vAlign w:val="center"/>
                  <w:hideMark/>
                </w:tcPr>
                <w:p w14:paraId="036D2862" w14:textId="77777777" w:rsidR="009A7F1E" w:rsidRPr="002E4D67" w:rsidRDefault="009A7F1E" w:rsidP="009770E0">
                  <w:pPr>
                    <w:pStyle w:val="Textkrper"/>
                    <w:jc w:val="left"/>
                    <w:rPr>
                      <w:rFonts w:cstheme="minorHAnsi"/>
                      <w:lang w:val="en-US"/>
                    </w:rPr>
                  </w:pPr>
                  <w:r w:rsidRPr="002E4D67">
                    <w:rPr>
                      <w:rFonts w:cstheme="minorHAnsi"/>
                      <w:lang w:val="en-US"/>
                    </w:rPr>
                    <w:t>12</w:t>
                  </w:r>
                </w:p>
              </w:tc>
              <w:tc>
                <w:tcPr>
                  <w:tcW w:w="679" w:type="dxa"/>
                  <w:vAlign w:val="center"/>
                  <w:hideMark/>
                </w:tcPr>
                <w:p w14:paraId="0DB2EAB5" w14:textId="77777777" w:rsidR="009A7F1E" w:rsidRPr="002E4D67" w:rsidRDefault="009A7F1E" w:rsidP="009770E0">
                  <w:pPr>
                    <w:pStyle w:val="Textkrper"/>
                    <w:jc w:val="left"/>
                    <w:rPr>
                      <w:rFonts w:cstheme="minorHAnsi"/>
                      <w:lang w:val="en-US"/>
                    </w:rPr>
                  </w:pPr>
                  <w:r w:rsidRPr="002E4D67">
                    <w:rPr>
                      <w:rFonts w:cstheme="minorHAnsi"/>
                      <w:lang w:val="en-US"/>
                    </w:rPr>
                    <w:t>18</w:t>
                  </w:r>
                </w:p>
              </w:tc>
              <w:tc>
                <w:tcPr>
                  <w:tcW w:w="990" w:type="dxa"/>
                  <w:vAlign w:val="center"/>
                  <w:hideMark/>
                </w:tcPr>
                <w:p w14:paraId="23E2D096" w14:textId="77777777" w:rsidR="009A7F1E" w:rsidRPr="002E4D67" w:rsidRDefault="009A7F1E" w:rsidP="009770E0">
                  <w:pPr>
                    <w:pStyle w:val="Textkrper"/>
                    <w:jc w:val="left"/>
                    <w:rPr>
                      <w:rFonts w:cstheme="minorHAnsi"/>
                      <w:lang w:val="en-US"/>
                    </w:rPr>
                  </w:pPr>
                  <w:r w:rsidRPr="002E4D67">
                    <w:rPr>
                      <w:rFonts w:cstheme="minorHAnsi"/>
                      <w:lang w:val="en-US"/>
                    </w:rPr>
                    <w:t>1,500,000</w:t>
                  </w:r>
                </w:p>
              </w:tc>
              <w:tc>
                <w:tcPr>
                  <w:tcW w:w="767" w:type="dxa"/>
                  <w:vAlign w:val="center"/>
                  <w:hideMark/>
                </w:tcPr>
                <w:p w14:paraId="4F68D21F" w14:textId="77777777" w:rsidR="009A7F1E" w:rsidRPr="002E4D67" w:rsidRDefault="009A7F1E" w:rsidP="009770E0">
                  <w:pPr>
                    <w:pStyle w:val="Textkrper"/>
                    <w:jc w:val="left"/>
                    <w:rPr>
                      <w:rFonts w:cstheme="minorHAnsi"/>
                      <w:lang w:val="en-US"/>
                    </w:rPr>
                  </w:pPr>
                  <w:r w:rsidRPr="002E4D67">
                    <w:rPr>
                      <w:rFonts w:cstheme="minorHAnsi"/>
                      <w:lang w:val="en-US"/>
                    </w:rPr>
                    <w:t>1.5 %</w:t>
                  </w:r>
                </w:p>
              </w:tc>
              <w:tc>
                <w:tcPr>
                  <w:tcW w:w="814" w:type="dxa"/>
                  <w:vAlign w:val="center"/>
                  <w:hideMark/>
                </w:tcPr>
                <w:p w14:paraId="0351E1FB" w14:textId="363B6ACE" w:rsidR="009A7F1E" w:rsidRPr="002E4D67" w:rsidRDefault="009770E0" w:rsidP="009770E0">
                  <w:pPr>
                    <w:pStyle w:val="Textkrper"/>
                    <w:jc w:val="left"/>
                    <w:rPr>
                      <w:rFonts w:cstheme="minorHAnsi"/>
                      <w:lang w:val="en-US"/>
                    </w:rPr>
                  </w:pPr>
                  <w:r>
                    <w:rPr>
                      <w:rFonts w:cstheme="minorHAnsi"/>
                      <w:lang w:val="en-US"/>
                    </w:rPr>
                    <w:t xml:space="preserve">$ </w:t>
                  </w:r>
                  <w:r w:rsidR="009A7F1E" w:rsidRPr="002E4D67">
                    <w:rPr>
                      <w:rFonts w:cstheme="minorHAnsi"/>
                      <w:lang w:val="en-US"/>
                    </w:rPr>
                    <w:t>0.35</w:t>
                  </w:r>
                </w:p>
              </w:tc>
              <w:tc>
                <w:tcPr>
                  <w:tcW w:w="1372" w:type="dxa"/>
                  <w:vAlign w:val="center"/>
                  <w:hideMark/>
                </w:tcPr>
                <w:p w14:paraId="7757112E" w14:textId="77777777" w:rsidR="009A7F1E" w:rsidRPr="002E4D67" w:rsidRDefault="009A7F1E" w:rsidP="009770E0">
                  <w:pPr>
                    <w:pStyle w:val="Textkrper"/>
                    <w:jc w:val="left"/>
                    <w:rPr>
                      <w:rFonts w:cstheme="minorHAnsi"/>
                      <w:lang w:val="en-US"/>
                    </w:rPr>
                  </w:pPr>
                  <w:r w:rsidRPr="002E4D67">
                    <w:rPr>
                      <w:rFonts w:cstheme="minorHAnsi"/>
                      <w:lang w:val="en-US"/>
                    </w:rPr>
                    <w:t xml:space="preserve">Early strategic contributors </w:t>
                  </w:r>
                  <w:r w:rsidRPr="002E4D67">
                    <w:rPr>
                      <w:rFonts w:cstheme="minorHAnsi"/>
                      <w:lang w:val="en-US"/>
                    </w:rPr>
                    <w:lastRenderedPageBreak/>
                    <w:t>and technical supporters</w:t>
                  </w:r>
                </w:p>
              </w:tc>
            </w:tr>
            <w:tr w:rsidR="009A7F1E" w:rsidRPr="002E4D67" w14:paraId="3CD36994" w14:textId="77777777" w:rsidTr="009770E0">
              <w:trPr>
                <w:tblCellSpacing w:w="15" w:type="dxa"/>
              </w:trPr>
              <w:tc>
                <w:tcPr>
                  <w:tcW w:w="832" w:type="dxa"/>
                  <w:vAlign w:val="center"/>
                  <w:hideMark/>
                </w:tcPr>
                <w:p w14:paraId="0B48936F" w14:textId="77777777" w:rsidR="009A7F1E" w:rsidRPr="002E4D67" w:rsidRDefault="009A7F1E" w:rsidP="009770E0">
                  <w:pPr>
                    <w:pStyle w:val="Textkrper"/>
                    <w:jc w:val="left"/>
                    <w:rPr>
                      <w:rFonts w:cstheme="minorHAnsi"/>
                      <w:lang w:val="en-US"/>
                    </w:rPr>
                  </w:pPr>
                  <w:r w:rsidRPr="002E4D67">
                    <w:rPr>
                      <w:rFonts w:cstheme="minorHAnsi"/>
                      <w:lang w:val="en-US"/>
                    </w:rPr>
                    <w:lastRenderedPageBreak/>
                    <w:t>Seed</w:t>
                  </w:r>
                </w:p>
              </w:tc>
              <w:tc>
                <w:tcPr>
                  <w:tcW w:w="679" w:type="dxa"/>
                  <w:vAlign w:val="center"/>
                  <w:hideMark/>
                </w:tcPr>
                <w:p w14:paraId="7A4CB9BA" w14:textId="77777777" w:rsidR="009A7F1E" w:rsidRPr="002E4D67" w:rsidRDefault="009A7F1E" w:rsidP="009770E0">
                  <w:pPr>
                    <w:pStyle w:val="Textkrper"/>
                    <w:jc w:val="left"/>
                    <w:rPr>
                      <w:rFonts w:cstheme="minorHAnsi"/>
                      <w:lang w:val="en-US"/>
                    </w:rPr>
                  </w:pPr>
                  <w:r w:rsidRPr="002E4D67">
                    <w:rPr>
                      <w:rFonts w:cstheme="minorHAnsi"/>
                      <w:lang w:val="en-US"/>
                    </w:rPr>
                    <w:t>12</w:t>
                  </w:r>
                </w:p>
              </w:tc>
              <w:tc>
                <w:tcPr>
                  <w:tcW w:w="679" w:type="dxa"/>
                  <w:vAlign w:val="center"/>
                  <w:hideMark/>
                </w:tcPr>
                <w:p w14:paraId="6C7DFB72" w14:textId="77777777" w:rsidR="009A7F1E" w:rsidRPr="002E4D67" w:rsidRDefault="009A7F1E" w:rsidP="009770E0">
                  <w:pPr>
                    <w:pStyle w:val="Textkrper"/>
                    <w:jc w:val="left"/>
                    <w:rPr>
                      <w:rFonts w:cstheme="minorHAnsi"/>
                      <w:lang w:val="en-US"/>
                    </w:rPr>
                  </w:pPr>
                  <w:r w:rsidRPr="002E4D67">
                    <w:rPr>
                      <w:rFonts w:cstheme="minorHAnsi"/>
                      <w:lang w:val="en-US"/>
                    </w:rPr>
                    <w:t>18</w:t>
                  </w:r>
                </w:p>
              </w:tc>
              <w:tc>
                <w:tcPr>
                  <w:tcW w:w="990" w:type="dxa"/>
                  <w:vAlign w:val="center"/>
                  <w:hideMark/>
                </w:tcPr>
                <w:p w14:paraId="38242D64" w14:textId="77777777" w:rsidR="009A7F1E" w:rsidRPr="002E4D67" w:rsidRDefault="009A7F1E" w:rsidP="009770E0">
                  <w:pPr>
                    <w:pStyle w:val="Textkrper"/>
                    <w:jc w:val="left"/>
                    <w:rPr>
                      <w:rFonts w:cstheme="minorHAnsi"/>
                      <w:lang w:val="en-US"/>
                    </w:rPr>
                  </w:pPr>
                  <w:r w:rsidRPr="002E4D67">
                    <w:rPr>
                      <w:rFonts w:cstheme="minorHAnsi"/>
                      <w:lang w:val="en-US"/>
                    </w:rPr>
                    <w:t>3,000,000</w:t>
                  </w:r>
                </w:p>
              </w:tc>
              <w:tc>
                <w:tcPr>
                  <w:tcW w:w="767" w:type="dxa"/>
                  <w:vAlign w:val="center"/>
                  <w:hideMark/>
                </w:tcPr>
                <w:p w14:paraId="5EEE1B3C" w14:textId="77777777" w:rsidR="009A7F1E" w:rsidRPr="002E4D67" w:rsidRDefault="009A7F1E" w:rsidP="009770E0">
                  <w:pPr>
                    <w:pStyle w:val="Textkrper"/>
                    <w:jc w:val="left"/>
                    <w:rPr>
                      <w:rFonts w:cstheme="minorHAnsi"/>
                      <w:lang w:val="en-US"/>
                    </w:rPr>
                  </w:pPr>
                  <w:r w:rsidRPr="002E4D67">
                    <w:rPr>
                      <w:rFonts w:cstheme="minorHAnsi"/>
                      <w:lang w:val="en-US"/>
                    </w:rPr>
                    <w:t>3.0 %</w:t>
                  </w:r>
                </w:p>
              </w:tc>
              <w:tc>
                <w:tcPr>
                  <w:tcW w:w="814" w:type="dxa"/>
                  <w:vAlign w:val="center"/>
                  <w:hideMark/>
                </w:tcPr>
                <w:p w14:paraId="6F97B8B1" w14:textId="0082C20A" w:rsidR="009A7F1E" w:rsidRPr="002E4D67" w:rsidRDefault="009770E0" w:rsidP="009770E0">
                  <w:pPr>
                    <w:pStyle w:val="Textkrper"/>
                    <w:jc w:val="left"/>
                    <w:rPr>
                      <w:rFonts w:cstheme="minorHAnsi"/>
                      <w:lang w:val="en-US"/>
                    </w:rPr>
                  </w:pPr>
                  <w:r>
                    <w:rPr>
                      <w:rFonts w:cstheme="minorHAnsi"/>
                      <w:lang w:val="en-US"/>
                    </w:rPr>
                    <w:t xml:space="preserve">$ </w:t>
                  </w:r>
                  <w:r w:rsidR="009A7F1E" w:rsidRPr="002E4D67">
                    <w:rPr>
                      <w:rFonts w:cstheme="minorHAnsi"/>
                      <w:lang w:val="en-US"/>
                    </w:rPr>
                    <w:t>0.455</w:t>
                  </w:r>
                </w:p>
              </w:tc>
              <w:tc>
                <w:tcPr>
                  <w:tcW w:w="1372" w:type="dxa"/>
                  <w:vAlign w:val="center"/>
                  <w:hideMark/>
                </w:tcPr>
                <w:p w14:paraId="2A954DB9" w14:textId="77777777" w:rsidR="009A7F1E" w:rsidRPr="002E4D67" w:rsidRDefault="009A7F1E" w:rsidP="009770E0">
                  <w:pPr>
                    <w:pStyle w:val="Textkrper"/>
                    <w:jc w:val="left"/>
                    <w:rPr>
                      <w:rFonts w:cstheme="minorHAnsi"/>
                      <w:lang w:val="en-US"/>
                    </w:rPr>
                  </w:pPr>
                  <w:r w:rsidRPr="002E4D67">
                    <w:rPr>
                      <w:rFonts w:cstheme="minorHAnsi"/>
                      <w:lang w:val="en-US"/>
                    </w:rPr>
                    <w:t>Early investors and key partners</w:t>
                  </w:r>
                </w:p>
              </w:tc>
            </w:tr>
            <w:tr w:rsidR="009A7F1E" w:rsidRPr="002E4D67" w14:paraId="0A7F0CF9" w14:textId="77777777" w:rsidTr="009770E0">
              <w:trPr>
                <w:tblCellSpacing w:w="15" w:type="dxa"/>
              </w:trPr>
              <w:tc>
                <w:tcPr>
                  <w:tcW w:w="832" w:type="dxa"/>
                  <w:vAlign w:val="center"/>
                  <w:hideMark/>
                </w:tcPr>
                <w:p w14:paraId="15863586" w14:textId="77777777" w:rsidR="009A7F1E" w:rsidRPr="002E4D67" w:rsidRDefault="009A7F1E" w:rsidP="009770E0">
                  <w:pPr>
                    <w:pStyle w:val="Textkrper"/>
                    <w:jc w:val="left"/>
                    <w:rPr>
                      <w:rFonts w:cstheme="minorHAnsi"/>
                      <w:lang w:val="en-US"/>
                    </w:rPr>
                  </w:pPr>
                  <w:r w:rsidRPr="002E4D67">
                    <w:rPr>
                      <w:rFonts w:cstheme="minorHAnsi"/>
                      <w:lang w:val="en-US"/>
                    </w:rPr>
                    <w:t>Strategic</w:t>
                  </w:r>
                </w:p>
              </w:tc>
              <w:tc>
                <w:tcPr>
                  <w:tcW w:w="679" w:type="dxa"/>
                  <w:vAlign w:val="center"/>
                  <w:hideMark/>
                </w:tcPr>
                <w:p w14:paraId="58C01897" w14:textId="77777777" w:rsidR="009A7F1E" w:rsidRPr="002E4D67" w:rsidRDefault="009A7F1E" w:rsidP="009770E0">
                  <w:pPr>
                    <w:pStyle w:val="Textkrper"/>
                    <w:jc w:val="left"/>
                    <w:rPr>
                      <w:rFonts w:cstheme="minorHAnsi"/>
                      <w:lang w:val="en-US"/>
                    </w:rPr>
                  </w:pPr>
                  <w:r w:rsidRPr="002E4D67">
                    <w:rPr>
                      <w:rFonts w:cstheme="minorHAnsi"/>
                      <w:lang w:val="en-US"/>
                    </w:rPr>
                    <w:t>9</w:t>
                  </w:r>
                </w:p>
              </w:tc>
              <w:tc>
                <w:tcPr>
                  <w:tcW w:w="679" w:type="dxa"/>
                  <w:vAlign w:val="center"/>
                  <w:hideMark/>
                </w:tcPr>
                <w:p w14:paraId="5C7C3A90" w14:textId="77777777" w:rsidR="009A7F1E" w:rsidRPr="002E4D67" w:rsidRDefault="009A7F1E" w:rsidP="009770E0">
                  <w:pPr>
                    <w:pStyle w:val="Textkrper"/>
                    <w:jc w:val="left"/>
                    <w:rPr>
                      <w:rFonts w:cstheme="minorHAnsi"/>
                      <w:lang w:val="en-US"/>
                    </w:rPr>
                  </w:pPr>
                  <w:r w:rsidRPr="002E4D67">
                    <w:rPr>
                      <w:rFonts w:cstheme="minorHAnsi"/>
                      <w:lang w:val="en-US"/>
                    </w:rPr>
                    <w:t>12</w:t>
                  </w:r>
                </w:p>
              </w:tc>
              <w:tc>
                <w:tcPr>
                  <w:tcW w:w="990" w:type="dxa"/>
                  <w:vAlign w:val="center"/>
                  <w:hideMark/>
                </w:tcPr>
                <w:p w14:paraId="24DF7AC2" w14:textId="77777777" w:rsidR="009A7F1E" w:rsidRPr="002E4D67" w:rsidRDefault="009A7F1E" w:rsidP="009770E0">
                  <w:pPr>
                    <w:pStyle w:val="Textkrper"/>
                    <w:jc w:val="left"/>
                    <w:rPr>
                      <w:rFonts w:cstheme="minorHAnsi"/>
                      <w:lang w:val="en-US"/>
                    </w:rPr>
                  </w:pPr>
                  <w:r w:rsidRPr="002E4D67">
                    <w:rPr>
                      <w:rFonts w:cstheme="minorHAnsi"/>
                      <w:lang w:val="en-US"/>
                    </w:rPr>
                    <w:t>4,000,000</w:t>
                  </w:r>
                </w:p>
              </w:tc>
              <w:tc>
                <w:tcPr>
                  <w:tcW w:w="767" w:type="dxa"/>
                  <w:vAlign w:val="center"/>
                  <w:hideMark/>
                </w:tcPr>
                <w:p w14:paraId="2C753327" w14:textId="77777777" w:rsidR="009A7F1E" w:rsidRPr="002E4D67" w:rsidRDefault="009A7F1E" w:rsidP="009770E0">
                  <w:pPr>
                    <w:pStyle w:val="Textkrper"/>
                    <w:jc w:val="left"/>
                    <w:rPr>
                      <w:rFonts w:cstheme="minorHAnsi"/>
                      <w:lang w:val="en-US"/>
                    </w:rPr>
                  </w:pPr>
                  <w:r w:rsidRPr="002E4D67">
                    <w:rPr>
                      <w:rFonts w:cstheme="minorHAnsi"/>
                      <w:lang w:val="en-US"/>
                    </w:rPr>
                    <w:t>4.0 %</w:t>
                  </w:r>
                </w:p>
              </w:tc>
              <w:tc>
                <w:tcPr>
                  <w:tcW w:w="814" w:type="dxa"/>
                  <w:vAlign w:val="center"/>
                  <w:hideMark/>
                </w:tcPr>
                <w:p w14:paraId="27382E5E" w14:textId="38709FB1" w:rsidR="009A7F1E" w:rsidRPr="002E4D67" w:rsidRDefault="009770E0" w:rsidP="009770E0">
                  <w:pPr>
                    <w:pStyle w:val="Textkrper"/>
                    <w:jc w:val="left"/>
                    <w:rPr>
                      <w:rFonts w:cstheme="minorHAnsi"/>
                      <w:lang w:val="en-US"/>
                    </w:rPr>
                  </w:pPr>
                  <w:r>
                    <w:rPr>
                      <w:rFonts w:cstheme="minorHAnsi"/>
                      <w:lang w:val="en-US"/>
                    </w:rPr>
                    <w:t xml:space="preserve">$ </w:t>
                  </w:r>
                  <w:r w:rsidR="009A7F1E" w:rsidRPr="002E4D67">
                    <w:rPr>
                      <w:rFonts w:cstheme="minorHAnsi"/>
                      <w:lang w:val="en-US"/>
                    </w:rPr>
                    <w:t>0.592</w:t>
                  </w:r>
                </w:p>
              </w:tc>
              <w:tc>
                <w:tcPr>
                  <w:tcW w:w="1372" w:type="dxa"/>
                  <w:vAlign w:val="center"/>
                  <w:hideMark/>
                </w:tcPr>
                <w:p w14:paraId="3157A5C4" w14:textId="77777777" w:rsidR="009A7F1E" w:rsidRPr="002E4D67" w:rsidRDefault="009A7F1E" w:rsidP="009770E0">
                  <w:pPr>
                    <w:pStyle w:val="Textkrper"/>
                    <w:jc w:val="left"/>
                    <w:rPr>
                      <w:rFonts w:cstheme="minorHAnsi"/>
                      <w:lang w:val="en-US"/>
                    </w:rPr>
                  </w:pPr>
                  <w:r w:rsidRPr="002E4D67">
                    <w:rPr>
                      <w:rFonts w:cstheme="minorHAnsi"/>
                      <w:lang w:val="en-US"/>
                    </w:rPr>
                    <w:t>Institutional and network investors</w:t>
                  </w:r>
                </w:p>
              </w:tc>
            </w:tr>
            <w:tr w:rsidR="009A7F1E" w:rsidRPr="002E4D67" w14:paraId="598433C9" w14:textId="77777777" w:rsidTr="009770E0">
              <w:trPr>
                <w:tblCellSpacing w:w="15" w:type="dxa"/>
              </w:trPr>
              <w:tc>
                <w:tcPr>
                  <w:tcW w:w="832" w:type="dxa"/>
                  <w:vAlign w:val="center"/>
                  <w:hideMark/>
                </w:tcPr>
                <w:p w14:paraId="47216BD9" w14:textId="77777777" w:rsidR="009A7F1E" w:rsidRPr="002E4D67" w:rsidRDefault="009A7F1E" w:rsidP="009770E0">
                  <w:pPr>
                    <w:pStyle w:val="Textkrper"/>
                    <w:jc w:val="left"/>
                    <w:rPr>
                      <w:rFonts w:cstheme="minorHAnsi"/>
                      <w:lang w:val="en-US"/>
                    </w:rPr>
                  </w:pPr>
                  <w:r w:rsidRPr="002E4D67">
                    <w:rPr>
                      <w:rFonts w:cstheme="minorHAnsi"/>
                      <w:lang w:val="en-US"/>
                    </w:rPr>
                    <w:t>Pre-Public Sale</w:t>
                  </w:r>
                </w:p>
              </w:tc>
              <w:tc>
                <w:tcPr>
                  <w:tcW w:w="679" w:type="dxa"/>
                  <w:vAlign w:val="center"/>
                  <w:hideMark/>
                </w:tcPr>
                <w:p w14:paraId="683330EE" w14:textId="77777777" w:rsidR="009A7F1E" w:rsidRPr="002E4D67" w:rsidRDefault="009A7F1E" w:rsidP="009770E0">
                  <w:pPr>
                    <w:pStyle w:val="Textkrper"/>
                    <w:jc w:val="left"/>
                    <w:rPr>
                      <w:rFonts w:cstheme="minorHAnsi"/>
                      <w:lang w:val="en-US"/>
                    </w:rPr>
                  </w:pPr>
                  <w:r w:rsidRPr="002E4D67">
                    <w:rPr>
                      <w:rFonts w:cstheme="minorHAnsi"/>
                      <w:lang w:val="en-US"/>
                    </w:rPr>
                    <w:t>9</w:t>
                  </w:r>
                </w:p>
              </w:tc>
              <w:tc>
                <w:tcPr>
                  <w:tcW w:w="679" w:type="dxa"/>
                  <w:vAlign w:val="center"/>
                  <w:hideMark/>
                </w:tcPr>
                <w:p w14:paraId="0EE91725" w14:textId="77777777" w:rsidR="009A7F1E" w:rsidRPr="002E4D67" w:rsidRDefault="009A7F1E" w:rsidP="009770E0">
                  <w:pPr>
                    <w:pStyle w:val="Textkrper"/>
                    <w:jc w:val="left"/>
                    <w:rPr>
                      <w:rFonts w:cstheme="minorHAnsi"/>
                      <w:lang w:val="en-US"/>
                    </w:rPr>
                  </w:pPr>
                  <w:r w:rsidRPr="002E4D67">
                    <w:rPr>
                      <w:rFonts w:cstheme="minorHAnsi"/>
                      <w:lang w:val="en-US"/>
                    </w:rPr>
                    <w:t>12</w:t>
                  </w:r>
                </w:p>
              </w:tc>
              <w:tc>
                <w:tcPr>
                  <w:tcW w:w="990" w:type="dxa"/>
                  <w:vAlign w:val="center"/>
                  <w:hideMark/>
                </w:tcPr>
                <w:p w14:paraId="1F29A383" w14:textId="77777777" w:rsidR="009A7F1E" w:rsidRPr="002E4D67" w:rsidRDefault="009A7F1E" w:rsidP="009770E0">
                  <w:pPr>
                    <w:pStyle w:val="Textkrper"/>
                    <w:jc w:val="left"/>
                    <w:rPr>
                      <w:rFonts w:cstheme="minorHAnsi"/>
                      <w:lang w:val="en-US"/>
                    </w:rPr>
                  </w:pPr>
                  <w:r w:rsidRPr="002E4D67">
                    <w:rPr>
                      <w:rFonts w:cstheme="minorHAnsi"/>
                      <w:lang w:val="en-US"/>
                    </w:rPr>
                    <w:t>4,000,000</w:t>
                  </w:r>
                </w:p>
              </w:tc>
              <w:tc>
                <w:tcPr>
                  <w:tcW w:w="767" w:type="dxa"/>
                  <w:vAlign w:val="center"/>
                  <w:hideMark/>
                </w:tcPr>
                <w:p w14:paraId="1B728D7E" w14:textId="77777777" w:rsidR="009A7F1E" w:rsidRPr="002E4D67" w:rsidRDefault="009A7F1E" w:rsidP="009770E0">
                  <w:pPr>
                    <w:pStyle w:val="Textkrper"/>
                    <w:jc w:val="left"/>
                    <w:rPr>
                      <w:rFonts w:cstheme="minorHAnsi"/>
                      <w:lang w:val="en-US"/>
                    </w:rPr>
                  </w:pPr>
                  <w:r w:rsidRPr="002E4D67">
                    <w:rPr>
                      <w:rFonts w:cstheme="minorHAnsi"/>
                      <w:lang w:val="en-US"/>
                    </w:rPr>
                    <w:t>4.0 %</w:t>
                  </w:r>
                </w:p>
              </w:tc>
              <w:tc>
                <w:tcPr>
                  <w:tcW w:w="814" w:type="dxa"/>
                  <w:vAlign w:val="center"/>
                  <w:hideMark/>
                </w:tcPr>
                <w:p w14:paraId="14AAD765" w14:textId="656ED4DF" w:rsidR="009A7F1E" w:rsidRPr="002E4D67" w:rsidRDefault="009770E0" w:rsidP="009770E0">
                  <w:pPr>
                    <w:pStyle w:val="Textkrper"/>
                    <w:jc w:val="left"/>
                    <w:rPr>
                      <w:rFonts w:cstheme="minorHAnsi"/>
                      <w:lang w:val="en-US"/>
                    </w:rPr>
                  </w:pPr>
                  <w:r>
                    <w:rPr>
                      <w:rFonts w:cstheme="minorHAnsi"/>
                      <w:lang w:val="en-US"/>
                    </w:rPr>
                    <w:t xml:space="preserve">$ </w:t>
                  </w:r>
                  <w:r w:rsidR="009A7F1E" w:rsidRPr="002E4D67">
                    <w:rPr>
                      <w:rFonts w:cstheme="minorHAnsi"/>
                      <w:lang w:val="en-US"/>
                    </w:rPr>
                    <w:t>0.769</w:t>
                  </w:r>
                </w:p>
              </w:tc>
              <w:tc>
                <w:tcPr>
                  <w:tcW w:w="1372" w:type="dxa"/>
                  <w:vAlign w:val="center"/>
                  <w:hideMark/>
                </w:tcPr>
                <w:p w14:paraId="7915EF24" w14:textId="77777777" w:rsidR="009A7F1E" w:rsidRPr="002E4D67" w:rsidRDefault="009A7F1E" w:rsidP="009770E0">
                  <w:pPr>
                    <w:pStyle w:val="Textkrper"/>
                    <w:jc w:val="left"/>
                    <w:rPr>
                      <w:rFonts w:cstheme="minorHAnsi"/>
                      <w:lang w:val="en-US"/>
                    </w:rPr>
                  </w:pPr>
                  <w:r w:rsidRPr="002E4D67">
                    <w:rPr>
                      <w:rFonts w:cstheme="minorHAnsi"/>
                      <w:lang w:val="en-US"/>
                    </w:rPr>
                    <w:t>Community and pre-registered members</w:t>
                  </w:r>
                </w:p>
              </w:tc>
            </w:tr>
            <w:tr w:rsidR="009A7F1E" w:rsidRPr="002E4D67" w14:paraId="28067A81" w14:textId="77777777" w:rsidTr="009770E0">
              <w:trPr>
                <w:tblCellSpacing w:w="15" w:type="dxa"/>
              </w:trPr>
              <w:tc>
                <w:tcPr>
                  <w:tcW w:w="832" w:type="dxa"/>
                  <w:vAlign w:val="center"/>
                  <w:hideMark/>
                </w:tcPr>
                <w:p w14:paraId="3FC37BAA" w14:textId="77777777" w:rsidR="009A7F1E" w:rsidRPr="002E4D67" w:rsidRDefault="009A7F1E" w:rsidP="009770E0">
                  <w:pPr>
                    <w:pStyle w:val="Textkrper"/>
                    <w:jc w:val="left"/>
                    <w:rPr>
                      <w:rFonts w:cstheme="minorHAnsi"/>
                      <w:lang w:val="en-US"/>
                    </w:rPr>
                  </w:pPr>
                  <w:r w:rsidRPr="002E4D67">
                    <w:rPr>
                      <w:rFonts w:cstheme="minorHAnsi"/>
                      <w:lang w:val="en-US"/>
                    </w:rPr>
                    <w:t>Public Sale</w:t>
                  </w:r>
                </w:p>
              </w:tc>
              <w:tc>
                <w:tcPr>
                  <w:tcW w:w="679" w:type="dxa"/>
                  <w:vAlign w:val="center"/>
                  <w:hideMark/>
                </w:tcPr>
                <w:p w14:paraId="496BF3D6" w14:textId="77777777" w:rsidR="009A7F1E" w:rsidRPr="002E4D67" w:rsidRDefault="009A7F1E" w:rsidP="009770E0">
                  <w:pPr>
                    <w:pStyle w:val="Textkrper"/>
                    <w:jc w:val="left"/>
                    <w:rPr>
                      <w:rFonts w:cstheme="minorHAnsi"/>
                      <w:lang w:val="en-US"/>
                    </w:rPr>
                  </w:pPr>
                  <w:r w:rsidRPr="002E4D67">
                    <w:rPr>
                      <w:rFonts w:cstheme="minorHAnsi"/>
                      <w:lang w:val="en-US"/>
                    </w:rPr>
                    <w:t>0</w:t>
                  </w:r>
                </w:p>
              </w:tc>
              <w:tc>
                <w:tcPr>
                  <w:tcW w:w="679" w:type="dxa"/>
                  <w:vAlign w:val="center"/>
                  <w:hideMark/>
                </w:tcPr>
                <w:p w14:paraId="4D7632BB" w14:textId="77777777" w:rsidR="009A7F1E" w:rsidRPr="002E4D67" w:rsidRDefault="009A7F1E" w:rsidP="009770E0">
                  <w:pPr>
                    <w:pStyle w:val="Textkrper"/>
                    <w:jc w:val="left"/>
                    <w:rPr>
                      <w:rFonts w:cstheme="minorHAnsi"/>
                      <w:lang w:val="en-US"/>
                    </w:rPr>
                  </w:pPr>
                  <w:r w:rsidRPr="002E4D67">
                    <w:rPr>
                      <w:rFonts w:cstheme="minorHAnsi"/>
                      <w:lang w:val="en-US"/>
                    </w:rPr>
                    <w:t>4</w:t>
                  </w:r>
                </w:p>
              </w:tc>
              <w:tc>
                <w:tcPr>
                  <w:tcW w:w="990" w:type="dxa"/>
                  <w:vAlign w:val="center"/>
                  <w:hideMark/>
                </w:tcPr>
                <w:p w14:paraId="4A850F8B" w14:textId="77777777" w:rsidR="009A7F1E" w:rsidRPr="002E4D67" w:rsidRDefault="009A7F1E" w:rsidP="009770E0">
                  <w:pPr>
                    <w:pStyle w:val="Textkrper"/>
                    <w:jc w:val="left"/>
                    <w:rPr>
                      <w:rFonts w:cstheme="minorHAnsi"/>
                      <w:lang w:val="en-US"/>
                    </w:rPr>
                  </w:pPr>
                  <w:r w:rsidRPr="002E4D67">
                    <w:rPr>
                      <w:rFonts w:cstheme="minorHAnsi"/>
                      <w:lang w:val="en-US"/>
                    </w:rPr>
                    <w:t>3,500,000</w:t>
                  </w:r>
                </w:p>
              </w:tc>
              <w:tc>
                <w:tcPr>
                  <w:tcW w:w="767" w:type="dxa"/>
                  <w:vAlign w:val="center"/>
                  <w:hideMark/>
                </w:tcPr>
                <w:p w14:paraId="6DB218A4" w14:textId="77777777" w:rsidR="009A7F1E" w:rsidRPr="002E4D67" w:rsidRDefault="009A7F1E" w:rsidP="009770E0">
                  <w:pPr>
                    <w:pStyle w:val="Textkrper"/>
                    <w:jc w:val="left"/>
                    <w:rPr>
                      <w:rFonts w:cstheme="minorHAnsi"/>
                      <w:lang w:val="en-US"/>
                    </w:rPr>
                  </w:pPr>
                  <w:r w:rsidRPr="002E4D67">
                    <w:rPr>
                      <w:rFonts w:cstheme="minorHAnsi"/>
                      <w:lang w:val="en-US"/>
                    </w:rPr>
                    <w:t>3.5 %</w:t>
                  </w:r>
                </w:p>
              </w:tc>
              <w:tc>
                <w:tcPr>
                  <w:tcW w:w="814" w:type="dxa"/>
                  <w:vAlign w:val="center"/>
                  <w:hideMark/>
                </w:tcPr>
                <w:p w14:paraId="646840EA" w14:textId="7D12540D" w:rsidR="009A7F1E" w:rsidRPr="002E4D67" w:rsidRDefault="009770E0" w:rsidP="009770E0">
                  <w:pPr>
                    <w:pStyle w:val="Textkrper"/>
                    <w:jc w:val="left"/>
                    <w:rPr>
                      <w:rFonts w:cstheme="minorHAnsi"/>
                      <w:lang w:val="en-US"/>
                    </w:rPr>
                  </w:pPr>
                  <w:r>
                    <w:rPr>
                      <w:rFonts w:cstheme="minorHAnsi"/>
                      <w:lang w:val="en-US"/>
                    </w:rPr>
                    <w:t xml:space="preserve">$ </w:t>
                  </w:r>
                  <w:r w:rsidR="009A7F1E" w:rsidRPr="002E4D67">
                    <w:rPr>
                      <w:rFonts w:cstheme="minorHAnsi"/>
                      <w:lang w:val="en-US"/>
                    </w:rPr>
                    <w:t>1.00</w:t>
                  </w:r>
                </w:p>
              </w:tc>
              <w:tc>
                <w:tcPr>
                  <w:tcW w:w="1372" w:type="dxa"/>
                  <w:vAlign w:val="center"/>
                  <w:hideMark/>
                </w:tcPr>
                <w:p w14:paraId="0E8F3C3C" w14:textId="77777777" w:rsidR="009A7F1E" w:rsidRPr="002E4D67" w:rsidRDefault="009A7F1E" w:rsidP="009770E0">
                  <w:pPr>
                    <w:pStyle w:val="Textkrper"/>
                    <w:jc w:val="left"/>
                    <w:rPr>
                      <w:rFonts w:cstheme="minorHAnsi"/>
                      <w:lang w:val="en-US"/>
                    </w:rPr>
                  </w:pPr>
                  <w:r w:rsidRPr="002E4D67">
                    <w:rPr>
                      <w:rFonts w:cstheme="minorHAnsi"/>
                      <w:lang w:val="en-US"/>
                    </w:rPr>
                    <w:t>General public via official WYND channels</w:t>
                  </w:r>
                </w:p>
              </w:tc>
            </w:tr>
          </w:tbl>
          <w:p w14:paraId="1B965CE4" w14:textId="77777777" w:rsidR="009A7F1E" w:rsidRPr="002E4D67" w:rsidRDefault="009A7F1E" w:rsidP="009770E0">
            <w:pPr>
              <w:pStyle w:val="Textkrper"/>
              <w:jc w:val="left"/>
              <w:rPr>
                <w:rFonts w:cstheme="minorHAnsi"/>
                <w:lang w:val="en-US"/>
              </w:rPr>
            </w:pPr>
          </w:p>
          <w:p w14:paraId="727648E1" w14:textId="77777777" w:rsidR="009A7F1E" w:rsidRPr="002E4D67" w:rsidRDefault="009A7F1E" w:rsidP="009770E0">
            <w:pPr>
              <w:pStyle w:val="Textkrper"/>
              <w:jc w:val="left"/>
              <w:rPr>
                <w:rFonts w:cstheme="minorHAnsi"/>
                <w:lang w:val="en-US"/>
              </w:rPr>
            </w:pPr>
            <w:r w:rsidRPr="002E4D67">
              <w:rPr>
                <w:rStyle w:val="Fett"/>
                <w:rFonts w:cstheme="minorHAnsi"/>
                <w:lang w:val="en-US"/>
              </w:rPr>
              <w:t>Total Funding Allocation:</w:t>
            </w:r>
            <w:r w:rsidRPr="002E4D67">
              <w:rPr>
                <w:rFonts w:cstheme="minorHAnsi"/>
                <w:lang w:val="en-US"/>
              </w:rPr>
              <w:t xml:space="preserve"> 16,000,000 tokens (16 % of total supply)</w:t>
            </w:r>
            <w:r w:rsidRPr="002E4D67">
              <w:rPr>
                <w:rFonts w:cstheme="minorHAnsi"/>
                <w:lang w:val="en-US"/>
              </w:rPr>
              <w:br/>
            </w:r>
            <w:r w:rsidRPr="002E4D67">
              <w:rPr>
                <w:rStyle w:val="Fett"/>
                <w:rFonts w:cstheme="minorHAnsi"/>
                <w:lang w:val="en-US"/>
              </w:rPr>
              <w:t>Total Fundraising Volume:</w:t>
            </w:r>
            <w:r w:rsidRPr="002E4D67">
              <w:rPr>
                <w:rFonts w:cstheme="minorHAnsi"/>
                <w:lang w:val="en-US"/>
              </w:rPr>
              <w:t xml:space="preserve"> ~ USD 11 million.</w:t>
            </w:r>
          </w:p>
          <w:p w14:paraId="50889E45" w14:textId="5B6599CC" w:rsidR="009A7F1E" w:rsidRPr="002E4D67" w:rsidRDefault="009A7F1E" w:rsidP="009770E0">
            <w:pPr>
              <w:pStyle w:val="Textkrper"/>
              <w:jc w:val="left"/>
              <w:rPr>
                <w:rFonts w:cstheme="minorHAnsi"/>
                <w:lang w:val="en-US"/>
              </w:rPr>
            </w:pPr>
            <w:r w:rsidRPr="002E4D67">
              <w:rPr>
                <w:rFonts w:cstheme="minorHAnsi"/>
                <w:lang w:val="en-US"/>
              </w:rPr>
              <w:t xml:space="preserve">Tokens allocated in the funding rounds are subject to defined </w:t>
            </w:r>
            <w:r w:rsidRPr="002E4D67">
              <w:rPr>
                <w:rStyle w:val="Fett"/>
                <w:rFonts w:cstheme="minorHAnsi"/>
                <w:lang w:val="en-US"/>
              </w:rPr>
              <w:t>cliff and vesting periods</w:t>
            </w:r>
            <w:r w:rsidRPr="002E4D67">
              <w:rPr>
                <w:rFonts w:cstheme="minorHAnsi"/>
                <w:lang w:val="en-US"/>
              </w:rPr>
              <w:t xml:space="preserve">, during which they remain </w:t>
            </w:r>
            <w:r w:rsidRPr="002E4D67">
              <w:rPr>
                <w:rStyle w:val="Fett"/>
                <w:rFonts w:cstheme="minorHAnsi"/>
                <w:lang w:val="en-US"/>
              </w:rPr>
              <w:t>non-transferable</w:t>
            </w:r>
            <w:r w:rsidRPr="002E4D67">
              <w:rPr>
                <w:rFonts w:cstheme="minorHAnsi"/>
                <w:lang w:val="en-US"/>
              </w:rPr>
              <w:t>.</w:t>
            </w:r>
            <w:r w:rsidRPr="002E4D67">
              <w:rPr>
                <w:rFonts w:cstheme="minorHAnsi"/>
                <w:lang w:val="en-US"/>
              </w:rPr>
              <w:br/>
              <w:t>All allocations are executed via smart contracts ensuring transparency and compliance.</w:t>
            </w:r>
          </w:p>
          <w:p w14:paraId="242C8B25" w14:textId="77777777" w:rsidR="009A7F1E" w:rsidRPr="002E4D67" w:rsidRDefault="009A7F1E" w:rsidP="009770E0">
            <w:pPr>
              <w:pStyle w:val="Textkrper"/>
              <w:jc w:val="left"/>
              <w:rPr>
                <w:rFonts w:cstheme="minorHAnsi"/>
                <w:bCs/>
                <w:lang w:val="en-US"/>
              </w:rPr>
            </w:pPr>
            <w:r w:rsidRPr="002E4D67">
              <w:rPr>
                <w:rStyle w:val="Fett"/>
                <w:rFonts w:cstheme="minorHAnsi"/>
                <w:lang w:val="en-US"/>
              </w:rPr>
              <w:t>Team and Advisory Allocations</w:t>
            </w:r>
          </w:p>
          <w:tbl>
            <w:tblPr>
              <w:tblW w:w="6152"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911"/>
              <w:gridCol w:w="672"/>
              <w:gridCol w:w="783"/>
              <w:gridCol w:w="750"/>
              <w:gridCol w:w="675"/>
              <w:gridCol w:w="801"/>
              <w:gridCol w:w="1560"/>
            </w:tblGrid>
            <w:tr w:rsidR="009A7F1E" w:rsidRPr="002E4D67" w14:paraId="6B187E12" w14:textId="77777777" w:rsidTr="00D64090">
              <w:trPr>
                <w:tblHeader/>
                <w:tblCellSpacing w:w="15" w:type="dxa"/>
              </w:trPr>
              <w:tc>
                <w:tcPr>
                  <w:tcW w:w="866" w:type="dxa"/>
                  <w:vAlign w:val="center"/>
                  <w:hideMark/>
                </w:tcPr>
                <w:p w14:paraId="5BE2C842" w14:textId="77777777" w:rsidR="009A7F1E" w:rsidRPr="002E4D67" w:rsidRDefault="009A7F1E" w:rsidP="009770E0">
                  <w:pPr>
                    <w:pStyle w:val="Textkrper"/>
                    <w:jc w:val="left"/>
                    <w:rPr>
                      <w:rFonts w:cstheme="minorHAnsi"/>
                      <w:lang w:val="en-US"/>
                    </w:rPr>
                  </w:pPr>
                  <w:r w:rsidRPr="002E4D67">
                    <w:rPr>
                      <w:rStyle w:val="Fett"/>
                      <w:rFonts w:cstheme="minorHAnsi"/>
                      <w:lang w:val="en-US"/>
                    </w:rPr>
                    <w:t>Category</w:t>
                  </w:r>
                </w:p>
              </w:tc>
              <w:tc>
                <w:tcPr>
                  <w:tcW w:w="642" w:type="dxa"/>
                  <w:vAlign w:val="center"/>
                  <w:hideMark/>
                </w:tcPr>
                <w:p w14:paraId="26296033" w14:textId="77777777" w:rsidR="009A7F1E" w:rsidRPr="002E4D67" w:rsidRDefault="009A7F1E" w:rsidP="009770E0">
                  <w:pPr>
                    <w:pStyle w:val="Textkrper"/>
                    <w:jc w:val="left"/>
                    <w:rPr>
                      <w:rFonts w:cstheme="minorHAnsi"/>
                      <w:lang w:val="en-US"/>
                    </w:rPr>
                  </w:pPr>
                  <w:r w:rsidRPr="002E4D67">
                    <w:rPr>
                      <w:rStyle w:val="Fett"/>
                      <w:rFonts w:cstheme="minorHAnsi"/>
                      <w:lang w:val="en-US"/>
                    </w:rPr>
                    <w:t>Cliff (months)</w:t>
                  </w:r>
                </w:p>
              </w:tc>
              <w:tc>
                <w:tcPr>
                  <w:tcW w:w="753" w:type="dxa"/>
                  <w:vAlign w:val="center"/>
                  <w:hideMark/>
                </w:tcPr>
                <w:p w14:paraId="1C5C3E4D" w14:textId="77777777" w:rsidR="009A7F1E" w:rsidRPr="002E4D67" w:rsidRDefault="009A7F1E" w:rsidP="009770E0">
                  <w:pPr>
                    <w:pStyle w:val="Textkrper"/>
                    <w:jc w:val="left"/>
                    <w:rPr>
                      <w:rFonts w:cstheme="minorHAnsi"/>
                      <w:lang w:val="en-US"/>
                    </w:rPr>
                  </w:pPr>
                  <w:r w:rsidRPr="002E4D67">
                    <w:rPr>
                      <w:rStyle w:val="Fett"/>
                      <w:rFonts w:cstheme="minorHAnsi"/>
                      <w:lang w:val="en-US"/>
                    </w:rPr>
                    <w:t>Vesting (months)</w:t>
                  </w:r>
                </w:p>
              </w:tc>
              <w:tc>
                <w:tcPr>
                  <w:tcW w:w="720" w:type="dxa"/>
                  <w:vAlign w:val="center"/>
                  <w:hideMark/>
                </w:tcPr>
                <w:p w14:paraId="19CEC52D" w14:textId="77777777" w:rsidR="009A7F1E" w:rsidRPr="002E4D67" w:rsidRDefault="009A7F1E" w:rsidP="009770E0">
                  <w:pPr>
                    <w:pStyle w:val="Textkrper"/>
                    <w:jc w:val="left"/>
                    <w:rPr>
                      <w:rFonts w:cstheme="minorHAnsi"/>
                      <w:lang w:val="en-US"/>
                    </w:rPr>
                  </w:pPr>
                  <w:r w:rsidRPr="002E4D67">
                    <w:rPr>
                      <w:rStyle w:val="Fett"/>
                      <w:rFonts w:cstheme="minorHAnsi"/>
                      <w:lang w:val="en-US"/>
                    </w:rPr>
                    <w:t># Tokens</w:t>
                  </w:r>
                </w:p>
              </w:tc>
              <w:tc>
                <w:tcPr>
                  <w:tcW w:w="645" w:type="dxa"/>
                  <w:vAlign w:val="center"/>
                  <w:hideMark/>
                </w:tcPr>
                <w:p w14:paraId="2C6F017A" w14:textId="77777777" w:rsidR="009A7F1E" w:rsidRPr="002E4D67" w:rsidRDefault="009A7F1E" w:rsidP="009770E0">
                  <w:pPr>
                    <w:pStyle w:val="Textkrper"/>
                    <w:jc w:val="left"/>
                    <w:rPr>
                      <w:rFonts w:cstheme="minorHAnsi"/>
                      <w:lang w:val="en-US"/>
                    </w:rPr>
                  </w:pPr>
                  <w:r w:rsidRPr="002E4D67">
                    <w:rPr>
                      <w:rStyle w:val="Fett"/>
                      <w:rFonts w:cstheme="minorHAnsi"/>
                      <w:lang w:val="en-US"/>
                    </w:rPr>
                    <w:t>% of Supply</w:t>
                  </w:r>
                </w:p>
              </w:tc>
              <w:tc>
                <w:tcPr>
                  <w:tcW w:w="771" w:type="dxa"/>
                  <w:vAlign w:val="center"/>
                  <w:hideMark/>
                </w:tcPr>
                <w:p w14:paraId="39986CA7" w14:textId="77777777" w:rsidR="009A7F1E" w:rsidRPr="002E4D67" w:rsidRDefault="009A7F1E" w:rsidP="009770E0">
                  <w:pPr>
                    <w:pStyle w:val="Textkrper"/>
                    <w:jc w:val="left"/>
                    <w:rPr>
                      <w:rFonts w:cstheme="minorHAnsi"/>
                      <w:lang w:val="en-US"/>
                    </w:rPr>
                  </w:pPr>
                  <w:r w:rsidRPr="002E4D67">
                    <w:rPr>
                      <w:rStyle w:val="Fett"/>
                      <w:rFonts w:cstheme="minorHAnsi"/>
                      <w:lang w:val="en-US"/>
                    </w:rPr>
                    <w:t>Price Basis</w:t>
                  </w:r>
                </w:p>
              </w:tc>
              <w:tc>
                <w:tcPr>
                  <w:tcW w:w="1515" w:type="dxa"/>
                  <w:vAlign w:val="center"/>
                  <w:hideMark/>
                </w:tcPr>
                <w:p w14:paraId="278D1983" w14:textId="77777777" w:rsidR="009A7F1E" w:rsidRPr="002E4D67" w:rsidRDefault="009A7F1E" w:rsidP="009770E0">
                  <w:pPr>
                    <w:pStyle w:val="Textkrper"/>
                    <w:jc w:val="left"/>
                    <w:rPr>
                      <w:rFonts w:cstheme="minorHAnsi"/>
                      <w:lang w:val="en-US"/>
                    </w:rPr>
                  </w:pPr>
                  <w:r w:rsidRPr="002E4D67">
                    <w:rPr>
                      <w:rStyle w:val="Fett"/>
                      <w:rFonts w:cstheme="minorHAnsi"/>
                      <w:lang w:val="en-US"/>
                    </w:rPr>
                    <w:t>Purpose</w:t>
                  </w:r>
                </w:p>
              </w:tc>
            </w:tr>
            <w:tr w:rsidR="009A7F1E" w:rsidRPr="002E4D67" w14:paraId="34C53D4B" w14:textId="77777777" w:rsidTr="00D64090">
              <w:trPr>
                <w:tblCellSpacing w:w="15" w:type="dxa"/>
              </w:trPr>
              <w:tc>
                <w:tcPr>
                  <w:tcW w:w="866" w:type="dxa"/>
                  <w:vAlign w:val="center"/>
                  <w:hideMark/>
                </w:tcPr>
                <w:p w14:paraId="25A95D52" w14:textId="77777777" w:rsidR="009A7F1E" w:rsidRPr="002E4D67" w:rsidRDefault="009A7F1E" w:rsidP="009770E0">
                  <w:pPr>
                    <w:pStyle w:val="Textkrper"/>
                    <w:jc w:val="left"/>
                    <w:rPr>
                      <w:rFonts w:cstheme="minorHAnsi"/>
                      <w:lang w:val="en-US"/>
                    </w:rPr>
                  </w:pPr>
                  <w:r w:rsidRPr="002E4D67">
                    <w:rPr>
                      <w:rFonts w:cstheme="minorHAnsi"/>
                      <w:lang w:val="en-US"/>
                    </w:rPr>
                    <w:t>Team</w:t>
                  </w:r>
                </w:p>
              </w:tc>
              <w:tc>
                <w:tcPr>
                  <w:tcW w:w="642" w:type="dxa"/>
                  <w:vAlign w:val="center"/>
                  <w:hideMark/>
                </w:tcPr>
                <w:p w14:paraId="6D6DD21A" w14:textId="77777777" w:rsidR="009A7F1E" w:rsidRPr="002E4D67" w:rsidRDefault="009A7F1E" w:rsidP="009770E0">
                  <w:pPr>
                    <w:pStyle w:val="Textkrper"/>
                    <w:jc w:val="left"/>
                    <w:rPr>
                      <w:rFonts w:cstheme="minorHAnsi"/>
                      <w:lang w:val="en-US"/>
                    </w:rPr>
                  </w:pPr>
                  <w:r w:rsidRPr="002E4D67">
                    <w:rPr>
                      <w:rFonts w:cstheme="minorHAnsi"/>
                      <w:lang w:val="en-US"/>
                    </w:rPr>
                    <w:t>12</w:t>
                  </w:r>
                </w:p>
              </w:tc>
              <w:tc>
                <w:tcPr>
                  <w:tcW w:w="753" w:type="dxa"/>
                  <w:vAlign w:val="center"/>
                  <w:hideMark/>
                </w:tcPr>
                <w:p w14:paraId="29221BF1" w14:textId="77777777" w:rsidR="009A7F1E" w:rsidRPr="002E4D67" w:rsidRDefault="009A7F1E" w:rsidP="009770E0">
                  <w:pPr>
                    <w:pStyle w:val="Textkrper"/>
                    <w:jc w:val="left"/>
                    <w:rPr>
                      <w:rFonts w:cstheme="minorHAnsi"/>
                      <w:lang w:val="en-US"/>
                    </w:rPr>
                  </w:pPr>
                  <w:r w:rsidRPr="002E4D67">
                    <w:rPr>
                      <w:rFonts w:cstheme="minorHAnsi"/>
                      <w:lang w:val="en-US"/>
                    </w:rPr>
                    <w:t>36</w:t>
                  </w:r>
                </w:p>
              </w:tc>
              <w:tc>
                <w:tcPr>
                  <w:tcW w:w="720" w:type="dxa"/>
                  <w:vAlign w:val="center"/>
                  <w:hideMark/>
                </w:tcPr>
                <w:p w14:paraId="1C96C6FE" w14:textId="77777777" w:rsidR="009A7F1E" w:rsidRPr="002E4D67" w:rsidRDefault="009A7F1E" w:rsidP="009770E0">
                  <w:pPr>
                    <w:pStyle w:val="Textkrper"/>
                    <w:jc w:val="left"/>
                    <w:rPr>
                      <w:rFonts w:cstheme="minorHAnsi"/>
                      <w:lang w:val="en-US"/>
                    </w:rPr>
                  </w:pPr>
                  <w:r w:rsidRPr="002E4D67">
                    <w:rPr>
                      <w:rFonts w:cstheme="minorHAnsi"/>
                      <w:lang w:val="en-US"/>
                    </w:rPr>
                    <w:t>15,000,000</w:t>
                  </w:r>
                </w:p>
              </w:tc>
              <w:tc>
                <w:tcPr>
                  <w:tcW w:w="645" w:type="dxa"/>
                  <w:vAlign w:val="center"/>
                  <w:hideMark/>
                </w:tcPr>
                <w:p w14:paraId="5F5CBAF7" w14:textId="77777777" w:rsidR="009A7F1E" w:rsidRPr="002E4D67" w:rsidRDefault="009A7F1E" w:rsidP="009770E0">
                  <w:pPr>
                    <w:pStyle w:val="Textkrper"/>
                    <w:jc w:val="left"/>
                    <w:rPr>
                      <w:rFonts w:cstheme="minorHAnsi"/>
                      <w:lang w:val="en-US"/>
                    </w:rPr>
                  </w:pPr>
                  <w:r w:rsidRPr="002E4D67">
                    <w:rPr>
                      <w:rFonts w:cstheme="minorHAnsi"/>
                      <w:lang w:val="en-US"/>
                    </w:rPr>
                    <w:t>15 %</w:t>
                  </w:r>
                </w:p>
              </w:tc>
              <w:tc>
                <w:tcPr>
                  <w:tcW w:w="771" w:type="dxa"/>
                  <w:vAlign w:val="center"/>
                  <w:hideMark/>
                </w:tcPr>
                <w:p w14:paraId="037D7485" w14:textId="77777777" w:rsidR="009A7F1E" w:rsidRPr="002E4D67" w:rsidRDefault="009A7F1E" w:rsidP="009770E0">
                  <w:pPr>
                    <w:pStyle w:val="Textkrper"/>
                    <w:jc w:val="left"/>
                    <w:rPr>
                      <w:rFonts w:cstheme="minorHAnsi"/>
                      <w:lang w:val="en-US"/>
                    </w:rPr>
                  </w:pPr>
                  <w:r w:rsidRPr="002E4D67">
                    <w:rPr>
                      <w:rFonts w:cstheme="minorHAnsi"/>
                      <w:lang w:val="en-US"/>
                    </w:rPr>
                    <w:t>Free allocation</w:t>
                  </w:r>
                </w:p>
              </w:tc>
              <w:tc>
                <w:tcPr>
                  <w:tcW w:w="1515" w:type="dxa"/>
                  <w:vAlign w:val="center"/>
                  <w:hideMark/>
                </w:tcPr>
                <w:p w14:paraId="7EEBBD2C" w14:textId="77777777" w:rsidR="009A7F1E" w:rsidRPr="002E4D67" w:rsidRDefault="009A7F1E" w:rsidP="009770E0">
                  <w:pPr>
                    <w:pStyle w:val="Textkrper"/>
                    <w:jc w:val="left"/>
                    <w:rPr>
                      <w:rFonts w:cstheme="minorHAnsi"/>
                      <w:lang w:val="en-US"/>
                    </w:rPr>
                  </w:pPr>
                  <w:r w:rsidRPr="002E4D67">
                    <w:rPr>
                      <w:rFonts w:cstheme="minorHAnsi"/>
                      <w:lang w:val="en-US"/>
                    </w:rPr>
                    <w:t xml:space="preserve">Founders, core management, and key personnel </w:t>
                  </w:r>
                  <w:r w:rsidRPr="002E4D67">
                    <w:rPr>
                      <w:rFonts w:cstheme="minorHAnsi"/>
                      <w:lang w:val="en-US"/>
                    </w:rPr>
                    <w:lastRenderedPageBreak/>
                    <w:t>(performance-based release)</w:t>
                  </w:r>
                </w:p>
              </w:tc>
            </w:tr>
            <w:tr w:rsidR="009A7F1E" w:rsidRPr="002E4D67" w14:paraId="4D40AD16" w14:textId="77777777" w:rsidTr="00D64090">
              <w:trPr>
                <w:tblCellSpacing w:w="15" w:type="dxa"/>
              </w:trPr>
              <w:tc>
                <w:tcPr>
                  <w:tcW w:w="866" w:type="dxa"/>
                  <w:vAlign w:val="center"/>
                  <w:hideMark/>
                </w:tcPr>
                <w:p w14:paraId="0DCD26EA" w14:textId="77777777" w:rsidR="009A7F1E" w:rsidRPr="002E4D67" w:rsidRDefault="009A7F1E" w:rsidP="009770E0">
                  <w:pPr>
                    <w:pStyle w:val="Textkrper"/>
                    <w:jc w:val="left"/>
                    <w:rPr>
                      <w:rFonts w:cstheme="minorHAnsi"/>
                      <w:lang w:val="en-US"/>
                    </w:rPr>
                  </w:pPr>
                  <w:r w:rsidRPr="002E4D67">
                    <w:rPr>
                      <w:rFonts w:cstheme="minorHAnsi"/>
                      <w:lang w:val="en-US"/>
                    </w:rPr>
                    <w:lastRenderedPageBreak/>
                    <w:t>Advisory</w:t>
                  </w:r>
                </w:p>
              </w:tc>
              <w:tc>
                <w:tcPr>
                  <w:tcW w:w="642" w:type="dxa"/>
                  <w:vAlign w:val="center"/>
                  <w:hideMark/>
                </w:tcPr>
                <w:p w14:paraId="125A891F" w14:textId="77777777" w:rsidR="009A7F1E" w:rsidRPr="002E4D67" w:rsidRDefault="009A7F1E" w:rsidP="009770E0">
                  <w:pPr>
                    <w:pStyle w:val="Textkrper"/>
                    <w:jc w:val="left"/>
                    <w:rPr>
                      <w:rFonts w:cstheme="minorHAnsi"/>
                      <w:lang w:val="en-US"/>
                    </w:rPr>
                  </w:pPr>
                  <w:r w:rsidRPr="002E4D67">
                    <w:rPr>
                      <w:rFonts w:cstheme="minorHAnsi"/>
                      <w:lang w:val="en-US"/>
                    </w:rPr>
                    <w:t>12</w:t>
                  </w:r>
                </w:p>
              </w:tc>
              <w:tc>
                <w:tcPr>
                  <w:tcW w:w="753" w:type="dxa"/>
                  <w:vAlign w:val="center"/>
                  <w:hideMark/>
                </w:tcPr>
                <w:p w14:paraId="364B20E3" w14:textId="77777777" w:rsidR="009A7F1E" w:rsidRPr="002E4D67" w:rsidRDefault="009A7F1E" w:rsidP="009770E0">
                  <w:pPr>
                    <w:pStyle w:val="Textkrper"/>
                    <w:jc w:val="left"/>
                    <w:rPr>
                      <w:rFonts w:cstheme="minorHAnsi"/>
                      <w:lang w:val="en-US"/>
                    </w:rPr>
                  </w:pPr>
                  <w:r w:rsidRPr="002E4D67">
                    <w:rPr>
                      <w:rFonts w:cstheme="minorHAnsi"/>
                      <w:lang w:val="en-US"/>
                    </w:rPr>
                    <w:t>36</w:t>
                  </w:r>
                </w:p>
              </w:tc>
              <w:tc>
                <w:tcPr>
                  <w:tcW w:w="720" w:type="dxa"/>
                  <w:vAlign w:val="center"/>
                  <w:hideMark/>
                </w:tcPr>
                <w:p w14:paraId="7B3967E6" w14:textId="77777777" w:rsidR="009A7F1E" w:rsidRPr="002E4D67" w:rsidRDefault="009A7F1E" w:rsidP="009770E0">
                  <w:pPr>
                    <w:pStyle w:val="Textkrper"/>
                    <w:jc w:val="left"/>
                    <w:rPr>
                      <w:rFonts w:cstheme="minorHAnsi"/>
                      <w:lang w:val="en-US"/>
                    </w:rPr>
                  </w:pPr>
                  <w:r w:rsidRPr="002E4D67">
                    <w:rPr>
                      <w:rFonts w:cstheme="minorHAnsi"/>
                      <w:lang w:val="en-US"/>
                    </w:rPr>
                    <w:t>3,000,000</w:t>
                  </w:r>
                </w:p>
              </w:tc>
              <w:tc>
                <w:tcPr>
                  <w:tcW w:w="645" w:type="dxa"/>
                  <w:vAlign w:val="center"/>
                  <w:hideMark/>
                </w:tcPr>
                <w:p w14:paraId="6453CEAD" w14:textId="77777777" w:rsidR="009A7F1E" w:rsidRPr="002E4D67" w:rsidRDefault="009A7F1E" w:rsidP="009770E0">
                  <w:pPr>
                    <w:pStyle w:val="Textkrper"/>
                    <w:jc w:val="left"/>
                    <w:rPr>
                      <w:rFonts w:cstheme="minorHAnsi"/>
                      <w:lang w:val="en-US"/>
                    </w:rPr>
                  </w:pPr>
                  <w:r w:rsidRPr="002E4D67">
                    <w:rPr>
                      <w:rFonts w:cstheme="minorHAnsi"/>
                      <w:lang w:val="en-US"/>
                    </w:rPr>
                    <w:t>3 %</w:t>
                  </w:r>
                </w:p>
              </w:tc>
              <w:tc>
                <w:tcPr>
                  <w:tcW w:w="771" w:type="dxa"/>
                  <w:vAlign w:val="center"/>
                  <w:hideMark/>
                </w:tcPr>
                <w:p w14:paraId="7E2CA0E1" w14:textId="77777777" w:rsidR="009A7F1E" w:rsidRPr="002E4D67" w:rsidRDefault="009A7F1E" w:rsidP="009770E0">
                  <w:pPr>
                    <w:pStyle w:val="Textkrper"/>
                    <w:jc w:val="left"/>
                    <w:rPr>
                      <w:rFonts w:cstheme="minorHAnsi"/>
                      <w:lang w:val="en-US"/>
                    </w:rPr>
                  </w:pPr>
                  <w:r w:rsidRPr="002E4D67">
                    <w:rPr>
                      <w:rFonts w:cstheme="minorHAnsi"/>
                      <w:lang w:val="en-US"/>
                    </w:rPr>
                    <w:t>Free allocation</w:t>
                  </w:r>
                </w:p>
              </w:tc>
              <w:tc>
                <w:tcPr>
                  <w:tcW w:w="1515" w:type="dxa"/>
                  <w:vAlign w:val="center"/>
                  <w:hideMark/>
                </w:tcPr>
                <w:p w14:paraId="1124D65F" w14:textId="77777777" w:rsidR="009A7F1E" w:rsidRPr="002E4D67" w:rsidRDefault="009A7F1E" w:rsidP="009770E0">
                  <w:pPr>
                    <w:pStyle w:val="Textkrper"/>
                    <w:jc w:val="left"/>
                    <w:rPr>
                      <w:rFonts w:cstheme="minorHAnsi"/>
                      <w:lang w:val="en-US"/>
                    </w:rPr>
                  </w:pPr>
                  <w:r w:rsidRPr="002E4D67">
                    <w:rPr>
                      <w:rFonts w:cstheme="minorHAnsi"/>
                      <w:lang w:val="en-US"/>
                    </w:rPr>
                    <w:t>Legal, technical, and strategic advisors</w:t>
                  </w:r>
                </w:p>
              </w:tc>
            </w:tr>
          </w:tbl>
          <w:p w14:paraId="5386FAD4" w14:textId="209EA5E6" w:rsidR="009A7F1E" w:rsidRPr="002E4D67" w:rsidRDefault="009A7F1E" w:rsidP="009770E0">
            <w:pPr>
              <w:pStyle w:val="Textkrper"/>
              <w:jc w:val="left"/>
              <w:rPr>
                <w:rFonts w:cstheme="minorHAnsi"/>
                <w:lang w:val="en-US"/>
              </w:rPr>
            </w:pPr>
            <w:r w:rsidRPr="002E4D67">
              <w:rPr>
                <w:rStyle w:val="Fett"/>
                <w:rFonts w:cstheme="minorHAnsi"/>
                <w:lang w:val="en-US"/>
              </w:rPr>
              <w:t>Total Team &amp; Advisory Allocation:</w:t>
            </w:r>
            <w:r w:rsidRPr="002E4D67">
              <w:rPr>
                <w:rFonts w:cstheme="minorHAnsi"/>
                <w:lang w:val="en-US"/>
              </w:rPr>
              <w:t xml:space="preserve"> 18 % (18,000,000 tokens)</w:t>
            </w:r>
          </w:p>
          <w:p w14:paraId="7C51871B" w14:textId="77777777" w:rsidR="009A7F1E" w:rsidRPr="002E4D67" w:rsidRDefault="009A7F1E" w:rsidP="009770E0">
            <w:pPr>
              <w:pStyle w:val="Textkrper"/>
              <w:jc w:val="left"/>
              <w:rPr>
                <w:rFonts w:cstheme="minorHAnsi"/>
                <w:bCs/>
                <w:lang w:val="en-US"/>
              </w:rPr>
            </w:pPr>
            <w:r w:rsidRPr="002E4D67">
              <w:rPr>
                <w:rStyle w:val="Fett"/>
                <w:rFonts w:cstheme="minorHAnsi"/>
                <w:lang w:val="en-US"/>
              </w:rPr>
              <w:t>Ecosystem, Staking &amp; Treasury</w:t>
            </w:r>
          </w:p>
          <w:tbl>
            <w:tblPr>
              <w:tblW w:w="6231" w:type="dxa"/>
              <w:tblCellSpacing w:w="15"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019"/>
              <w:gridCol w:w="675"/>
              <w:gridCol w:w="600"/>
              <w:gridCol w:w="1134"/>
              <w:gridCol w:w="677"/>
              <w:gridCol w:w="709"/>
              <w:gridCol w:w="1417"/>
            </w:tblGrid>
            <w:tr w:rsidR="009A7F1E" w:rsidRPr="002E4D67" w14:paraId="6507DF34" w14:textId="77777777" w:rsidTr="00D64090">
              <w:trPr>
                <w:tblHeader/>
                <w:tblCellSpacing w:w="15" w:type="dxa"/>
              </w:trPr>
              <w:tc>
                <w:tcPr>
                  <w:tcW w:w="974" w:type="dxa"/>
                  <w:vAlign w:val="center"/>
                  <w:hideMark/>
                </w:tcPr>
                <w:p w14:paraId="5EB90CD2" w14:textId="77777777" w:rsidR="009A7F1E" w:rsidRPr="002E4D67" w:rsidRDefault="009A7F1E" w:rsidP="009770E0">
                  <w:pPr>
                    <w:pStyle w:val="Textkrper"/>
                    <w:jc w:val="left"/>
                    <w:rPr>
                      <w:rFonts w:cstheme="minorHAnsi"/>
                      <w:lang w:val="en-US"/>
                    </w:rPr>
                  </w:pPr>
                  <w:r w:rsidRPr="002E4D67">
                    <w:rPr>
                      <w:rStyle w:val="Fett"/>
                      <w:rFonts w:cstheme="minorHAnsi"/>
                      <w:lang w:val="en-US"/>
                    </w:rPr>
                    <w:t>Category</w:t>
                  </w:r>
                </w:p>
              </w:tc>
              <w:tc>
                <w:tcPr>
                  <w:tcW w:w="645" w:type="dxa"/>
                  <w:vAlign w:val="center"/>
                  <w:hideMark/>
                </w:tcPr>
                <w:p w14:paraId="7C2DB16C" w14:textId="77777777" w:rsidR="009A7F1E" w:rsidRPr="002E4D67" w:rsidRDefault="009A7F1E" w:rsidP="009770E0">
                  <w:pPr>
                    <w:pStyle w:val="Textkrper"/>
                    <w:jc w:val="left"/>
                    <w:rPr>
                      <w:rFonts w:cstheme="minorHAnsi"/>
                      <w:lang w:val="en-US"/>
                    </w:rPr>
                  </w:pPr>
                  <w:r w:rsidRPr="002E4D67">
                    <w:rPr>
                      <w:rStyle w:val="Fett"/>
                      <w:rFonts w:cstheme="minorHAnsi"/>
                      <w:lang w:val="en-US"/>
                    </w:rPr>
                    <w:t>Cliff (months)</w:t>
                  </w:r>
                </w:p>
              </w:tc>
              <w:tc>
                <w:tcPr>
                  <w:tcW w:w="570" w:type="dxa"/>
                  <w:vAlign w:val="center"/>
                  <w:hideMark/>
                </w:tcPr>
                <w:p w14:paraId="7FFC73F7" w14:textId="77777777" w:rsidR="009A7F1E" w:rsidRPr="002E4D67" w:rsidRDefault="009A7F1E" w:rsidP="009770E0">
                  <w:pPr>
                    <w:pStyle w:val="Textkrper"/>
                    <w:jc w:val="left"/>
                    <w:rPr>
                      <w:rFonts w:cstheme="minorHAnsi"/>
                      <w:lang w:val="en-US"/>
                    </w:rPr>
                  </w:pPr>
                  <w:r w:rsidRPr="002E4D67">
                    <w:rPr>
                      <w:rStyle w:val="Fett"/>
                      <w:rFonts w:cstheme="minorHAnsi"/>
                      <w:lang w:val="en-US"/>
                    </w:rPr>
                    <w:t>Vesting (months)</w:t>
                  </w:r>
                </w:p>
              </w:tc>
              <w:tc>
                <w:tcPr>
                  <w:tcW w:w="1104" w:type="dxa"/>
                  <w:vAlign w:val="center"/>
                  <w:hideMark/>
                </w:tcPr>
                <w:p w14:paraId="12F9D520" w14:textId="77777777" w:rsidR="009A7F1E" w:rsidRPr="002E4D67" w:rsidRDefault="009A7F1E" w:rsidP="009770E0">
                  <w:pPr>
                    <w:pStyle w:val="Textkrper"/>
                    <w:jc w:val="left"/>
                    <w:rPr>
                      <w:rFonts w:cstheme="minorHAnsi"/>
                      <w:lang w:val="en-US"/>
                    </w:rPr>
                  </w:pPr>
                  <w:r w:rsidRPr="002E4D67">
                    <w:rPr>
                      <w:rStyle w:val="Fett"/>
                      <w:rFonts w:cstheme="minorHAnsi"/>
                      <w:lang w:val="en-US"/>
                    </w:rPr>
                    <w:t># Tokens</w:t>
                  </w:r>
                </w:p>
              </w:tc>
              <w:tc>
                <w:tcPr>
                  <w:tcW w:w="647" w:type="dxa"/>
                  <w:vAlign w:val="center"/>
                  <w:hideMark/>
                </w:tcPr>
                <w:p w14:paraId="1571F2FC" w14:textId="77777777" w:rsidR="009A7F1E" w:rsidRPr="002E4D67" w:rsidRDefault="009A7F1E" w:rsidP="009770E0">
                  <w:pPr>
                    <w:pStyle w:val="Textkrper"/>
                    <w:jc w:val="left"/>
                    <w:rPr>
                      <w:rFonts w:cstheme="minorHAnsi"/>
                      <w:lang w:val="en-US"/>
                    </w:rPr>
                  </w:pPr>
                  <w:r w:rsidRPr="002E4D67">
                    <w:rPr>
                      <w:rStyle w:val="Fett"/>
                      <w:rFonts w:cstheme="minorHAnsi"/>
                      <w:lang w:val="en-US"/>
                    </w:rPr>
                    <w:t>% of Supply</w:t>
                  </w:r>
                </w:p>
              </w:tc>
              <w:tc>
                <w:tcPr>
                  <w:tcW w:w="679" w:type="dxa"/>
                  <w:vAlign w:val="center"/>
                  <w:hideMark/>
                </w:tcPr>
                <w:p w14:paraId="4F837687" w14:textId="77777777" w:rsidR="009A7F1E" w:rsidRPr="002E4D67" w:rsidRDefault="009A7F1E" w:rsidP="009770E0">
                  <w:pPr>
                    <w:pStyle w:val="Textkrper"/>
                    <w:jc w:val="left"/>
                    <w:rPr>
                      <w:rFonts w:cstheme="minorHAnsi"/>
                      <w:lang w:val="en-US"/>
                    </w:rPr>
                  </w:pPr>
                  <w:r w:rsidRPr="002E4D67">
                    <w:rPr>
                      <w:rStyle w:val="Fett"/>
                      <w:rFonts w:cstheme="minorHAnsi"/>
                      <w:lang w:val="en-US"/>
                    </w:rPr>
                    <w:t>Price Basis</w:t>
                  </w:r>
                </w:p>
              </w:tc>
              <w:tc>
                <w:tcPr>
                  <w:tcW w:w="1372" w:type="dxa"/>
                  <w:vAlign w:val="center"/>
                  <w:hideMark/>
                </w:tcPr>
                <w:p w14:paraId="0166EFBD" w14:textId="77777777" w:rsidR="009A7F1E" w:rsidRPr="002E4D67" w:rsidRDefault="009A7F1E" w:rsidP="009770E0">
                  <w:pPr>
                    <w:pStyle w:val="Textkrper"/>
                    <w:jc w:val="left"/>
                    <w:rPr>
                      <w:rFonts w:cstheme="minorHAnsi"/>
                      <w:lang w:val="en-US"/>
                    </w:rPr>
                  </w:pPr>
                  <w:r w:rsidRPr="002E4D67">
                    <w:rPr>
                      <w:rStyle w:val="Fett"/>
                      <w:rFonts w:cstheme="minorHAnsi"/>
                      <w:lang w:val="en-US"/>
                    </w:rPr>
                    <w:t>Purpose</w:t>
                  </w:r>
                </w:p>
              </w:tc>
            </w:tr>
            <w:tr w:rsidR="009A7F1E" w:rsidRPr="002E4D67" w14:paraId="5E8CAB99" w14:textId="77777777" w:rsidTr="00D64090">
              <w:trPr>
                <w:tblCellSpacing w:w="15" w:type="dxa"/>
              </w:trPr>
              <w:tc>
                <w:tcPr>
                  <w:tcW w:w="974" w:type="dxa"/>
                  <w:vAlign w:val="center"/>
                  <w:hideMark/>
                </w:tcPr>
                <w:p w14:paraId="7A0ABAE9" w14:textId="77777777" w:rsidR="009A7F1E" w:rsidRPr="002E4D67" w:rsidRDefault="009A7F1E" w:rsidP="009770E0">
                  <w:pPr>
                    <w:pStyle w:val="Textkrper"/>
                    <w:jc w:val="left"/>
                    <w:rPr>
                      <w:rFonts w:cstheme="minorHAnsi"/>
                      <w:lang w:val="en-US"/>
                    </w:rPr>
                  </w:pPr>
                  <w:r w:rsidRPr="002E4D67">
                    <w:rPr>
                      <w:rFonts w:cstheme="minorHAnsi"/>
                      <w:lang w:val="en-US"/>
                    </w:rPr>
                    <w:t>Liquidity Pool</w:t>
                  </w:r>
                </w:p>
              </w:tc>
              <w:tc>
                <w:tcPr>
                  <w:tcW w:w="645" w:type="dxa"/>
                  <w:vAlign w:val="center"/>
                  <w:hideMark/>
                </w:tcPr>
                <w:p w14:paraId="08B16CF7" w14:textId="77777777" w:rsidR="009A7F1E" w:rsidRPr="002E4D67" w:rsidRDefault="009A7F1E" w:rsidP="009770E0">
                  <w:pPr>
                    <w:pStyle w:val="Textkrper"/>
                    <w:jc w:val="left"/>
                    <w:rPr>
                      <w:rFonts w:cstheme="minorHAnsi"/>
                      <w:lang w:val="en-US"/>
                    </w:rPr>
                  </w:pPr>
                  <w:r w:rsidRPr="002E4D67">
                    <w:rPr>
                      <w:rFonts w:cstheme="minorHAnsi"/>
                      <w:lang w:val="en-US"/>
                    </w:rPr>
                    <w:t>0</w:t>
                  </w:r>
                </w:p>
              </w:tc>
              <w:tc>
                <w:tcPr>
                  <w:tcW w:w="570" w:type="dxa"/>
                  <w:vAlign w:val="center"/>
                  <w:hideMark/>
                </w:tcPr>
                <w:p w14:paraId="19ADFE00" w14:textId="77777777" w:rsidR="009A7F1E" w:rsidRPr="002E4D67" w:rsidRDefault="009A7F1E" w:rsidP="009770E0">
                  <w:pPr>
                    <w:pStyle w:val="Textkrper"/>
                    <w:jc w:val="left"/>
                    <w:rPr>
                      <w:rFonts w:cstheme="minorHAnsi"/>
                      <w:lang w:val="en-US"/>
                    </w:rPr>
                  </w:pPr>
                  <w:r w:rsidRPr="002E4D67">
                    <w:rPr>
                      <w:rFonts w:cstheme="minorHAnsi"/>
                      <w:lang w:val="en-US"/>
                    </w:rPr>
                    <w:t>6</w:t>
                  </w:r>
                </w:p>
              </w:tc>
              <w:tc>
                <w:tcPr>
                  <w:tcW w:w="1104" w:type="dxa"/>
                  <w:vAlign w:val="center"/>
                  <w:hideMark/>
                </w:tcPr>
                <w:p w14:paraId="42F5F74E" w14:textId="77777777" w:rsidR="009A7F1E" w:rsidRPr="002E4D67" w:rsidRDefault="009A7F1E" w:rsidP="009770E0">
                  <w:pPr>
                    <w:pStyle w:val="Textkrper"/>
                    <w:jc w:val="left"/>
                    <w:rPr>
                      <w:rFonts w:cstheme="minorHAnsi"/>
                      <w:lang w:val="en-US"/>
                    </w:rPr>
                  </w:pPr>
                  <w:r w:rsidRPr="002E4D67">
                    <w:rPr>
                      <w:rFonts w:cstheme="minorHAnsi"/>
                      <w:lang w:val="en-US"/>
                    </w:rPr>
                    <w:t>5,000,000</w:t>
                  </w:r>
                </w:p>
              </w:tc>
              <w:tc>
                <w:tcPr>
                  <w:tcW w:w="647" w:type="dxa"/>
                  <w:vAlign w:val="center"/>
                  <w:hideMark/>
                </w:tcPr>
                <w:p w14:paraId="711D32BD" w14:textId="77777777" w:rsidR="009A7F1E" w:rsidRPr="002E4D67" w:rsidRDefault="009A7F1E" w:rsidP="009770E0">
                  <w:pPr>
                    <w:pStyle w:val="Textkrper"/>
                    <w:jc w:val="left"/>
                    <w:rPr>
                      <w:rFonts w:cstheme="minorHAnsi"/>
                      <w:lang w:val="en-US"/>
                    </w:rPr>
                  </w:pPr>
                  <w:r w:rsidRPr="002E4D67">
                    <w:rPr>
                      <w:rFonts w:cstheme="minorHAnsi"/>
                      <w:lang w:val="en-US"/>
                    </w:rPr>
                    <w:t>5 %</w:t>
                  </w:r>
                </w:p>
              </w:tc>
              <w:tc>
                <w:tcPr>
                  <w:tcW w:w="679" w:type="dxa"/>
                  <w:vAlign w:val="center"/>
                  <w:hideMark/>
                </w:tcPr>
                <w:p w14:paraId="083080D6" w14:textId="77777777" w:rsidR="009A7F1E" w:rsidRPr="002E4D67" w:rsidRDefault="009A7F1E" w:rsidP="009770E0">
                  <w:pPr>
                    <w:pStyle w:val="Textkrper"/>
                    <w:jc w:val="left"/>
                    <w:rPr>
                      <w:rFonts w:cstheme="minorHAnsi"/>
                      <w:lang w:val="en-US"/>
                    </w:rPr>
                  </w:pPr>
                  <w:r w:rsidRPr="002E4D67">
                    <w:rPr>
                      <w:rFonts w:cstheme="minorHAnsi"/>
                      <w:lang w:val="en-US"/>
                    </w:rPr>
                    <w:t>Free allocation</w:t>
                  </w:r>
                </w:p>
              </w:tc>
              <w:tc>
                <w:tcPr>
                  <w:tcW w:w="1372" w:type="dxa"/>
                  <w:vAlign w:val="center"/>
                  <w:hideMark/>
                </w:tcPr>
                <w:p w14:paraId="47CB551A" w14:textId="77777777" w:rsidR="009A7F1E" w:rsidRPr="002E4D67" w:rsidRDefault="009A7F1E" w:rsidP="009770E0">
                  <w:pPr>
                    <w:pStyle w:val="Textkrper"/>
                    <w:jc w:val="left"/>
                    <w:rPr>
                      <w:rFonts w:cstheme="minorHAnsi"/>
                      <w:lang w:val="en-US"/>
                    </w:rPr>
                  </w:pPr>
                  <w:r w:rsidRPr="002E4D67">
                    <w:rPr>
                      <w:rFonts w:cstheme="minorHAnsi"/>
                      <w:lang w:val="en-US"/>
                    </w:rPr>
                    <w:t>Operational liquidity for service payments and token integration</w:t>
                  </w:r>
                </w:p>
              </w:tc>
            </w:tr>
            <w:tr w:rsidR="009A7F1E" w:rsidRPr="002E4D67" w14:paraId="01868D2E" w14:textId="77777777" w:rsidTr="00D64090">
              <w:trPr>
                <w:tblCellSpacing w:w="15" w:type="dxa"/>
              </w:trPr>
              <w:tc>
                <w:tcPr>
                  <w:tcW w:w="974" w:type="dxa"/>
                  <w:vAlign w:val="center"/>
                  <w:hideMark/>
                </w:tcPr>
                <w:p w14:paraId="559FEEAA" w14:textId="77777777" w:rsidR="009A7F1E" w:rsidRPr="002E4D67" w:rsidRDefault="009A7F1E" w:rsidP="009770E0">
                  <w:pPr>
                    <w:pStyle w:val="Textkrper"/>
                    <w:jc w:val="left"/>
                    <w:rPr>
                      <w:rFonts w:cstheme="minorHAnsi"/>
                      <w:lang w:val="en-US"/>
                    </w:rPr>
                  </w:pPr>
                  <w:r w:rsidRPr="002E4D67">
                    <w:rPr>
                      <w:rFonts w:cstheme="minorHAnsi"/>
                      <w:lang w:val="en-US"/>
                    </w:rPr>
                    <w:t>Staking &amp; Loyalty</w:t>
                  </w:r>
                </w:p>
              </w:tc>
              <w:tc>
                <w:tcPr>
                  <w:tcW w:w="645" w:type="dxa"/>
                  <w:vAlign w:val="center"/>
                  <w:hideMark/>
                </w:tcPr>
                <w:p w14:paraId="7393C0AD" w14:textId="77777777" w:rsidR="009A7F1E" w:rsidRPr="002E4D67" w:rsidRDefault="009A7F1E" w:rsidP="009770E0">
                  <w:pPr>
                    <w:pStyle w:val="Textkrper"/>
                    <w:jc w:val="left"/>
                    <w:rPr>
                      <w:rFonts w:cstheme="minorHAnsi"/>
                      <w:lang w:val="en-US"/>
                    </w:rPr>
                  </w:pPr>
                  <w:r w:rsidRPr="002E4D67">
                    <w:rPr>
                      <w:rFonts w:cstheme="minorHAnsi"/>
                      <w:lang w:val="en-US"/>
                    </w:rPr>
                    <w:t>0</w:t>
                  </w:r>
                </w:p>
              </w:tc>
              <w:tc>
                <w:tcPr>
                  <w:tcW w:w="570" w:type="dxa"/>
                  <w:vAlign w:val="center"/>
                  <w:hideMark/>
                </w:tcPr>
                <w:p w14:paraId="0653B3A6" w14:textId="77777777" w:rsidR="009A7F1E" w:rsidRPr="002E4D67" w:rsidRDefault="009A7F1E" w:rsidP="009770E0">
                  <w:pPr>
                    <w:pStyle w:val="Textkrper"/>
                    <w:jc w:val="left"/>
                    <w:rPr>
                      <w:rFonts w:cstheme="minorHAnsi"/>
                      <w:lang w:val="en-US"/>
                    </w:rPr>
                  </w:pPr>
                  <w:r w:rsidRPr="002E4D67">
                    <w:rPr>
                      <w:rFonts w:cstheme="minorHAnsi"/>
                      <w:lang w:val="en-US"/>
                    </w:rPr>
                    <w:t>48</w:t>
                  </w:r>
                </w:p>
              </w:tc>
              <w:tc>
                <w:tcPr>
                  <w:tcW w:w="1104" w:type="dxa"/>
                  <w:vAlign w:val="center"/>
                  <w:hideMark/>
                </w:tcPr>
                <w:p w14:paraId="541F9216" w14:textId="77777777" w:rsidR="009A7F1E" w:rsidRPr="002E4D67" w:rsidRDefault="009A7F1E" w:rsidP="009770E0">
                  <w:pPr>
                    <w:pStyle w:val="Textkrper"/>
                    <w:jc w:val="left"/>
                    <w:rPr>
                      <w:rFonts w:cstheme="minorHAnsi"/>
                      <w:lang w:val="en-US"/>
                    </w:rPr>
                  </w:pPr>
                  <w:r w:rsidRPr="002E4D67">
                    <w:rPr>
                      <w:rFonts w:cstheme="minorHAnsi"/>
                      <w:lang w:val="en-US"/>
                    </w:rPr>
                    <w:t>30,000,000</w:t>
                  </w:r>
                </w:p>
              </w:tc>
              <w:tc>
                <w:tcPr>
                  <w:tcW w:w="647" w:type="dxa"/>
                  <w:vAlign w:val="center"/>
                  <w:hideMark/>
                </w:tcPr>
                <w:p w14:paraId="5A344B54" w14:textId="77777777" w:rsidR="009A7F1E" w:rsidRPr="002E4D67" w:rsidRDefault="009A7F1E" w:rsidP="009770E0">
                  <w:pPr>
                    <w:pStyle w:val="Textkrper"/>
                    <w:jc w:val="left"/>
                    <w:rPr>
                      <w:rFonts w:cstheme="minorHAnsi"/>
                      <w:lang w:val="en-US"/>
                    </w:rPr>
                  </w:pPr>
                  <w:r w:rsidRPr="002E4D67">
                    <w:rPr>
                      <w:rFonts w:cstheme="minorHAnsi"/>
                      <w:lang w:val="en-US"/>
                    </w:rPr>
                    <w:t>30 %</w:t>
                  </w:r>
                </w:p>
              </w:tc>
              <w:tc>
                <w:tcPr>
                  <w:tcW w:w="679" w:type="dxa"/>
                  <w:vAlign w:val="center"/>
                  <w:hideMark/>
                </w:tcPr>
                <w:p w14:paraId="233AC097" w14:textId="77777777" w:rsidR="009A7F1E" w:rsidRPr="002E4D67" w:rsidRDefault="009A7F1E" w:rsidP="009770E0">
                  <w:pPr>
                    <w:pStyle w:val="Textkrper"/>
                    <w:jc w:val="left"/>
                    <w:rPr>
                      <w:rFonts w:cstheme="minorHAnsi"/>
                      <w:lang w:val="en-US"/>
                    </w:rPr>
                  </w:pPr>
                  <w:r w:rsidRPr="002E4D67">
                    <w:rPr>
                      <w:rFonts w:cstheme="minorHAnsi"/>
                      <w:lang w:val="en-US"/>
                    </w:rPr>
                    <w:t>Free allocation</w:t>
                  </w:r>
                </w:p>
              </w:tc>
              <w:tc>
                <w:tcPr>
                  <w:tcW w:w="1372" w:type="dxa"/>
                  <w:vAlign w:val="center"/>
                  <w:hideMark/>
                </w:tcPr>
                <w:p w14:paraId="1FFB29FD" w14:textId="77777777" w:rsidR="009A7F1E" w:rsidRPr="002E4D67" w:rsidRDefault="009A7F1E" w:rsidP="009770E0">
                  <w:pPr>
                    <w:pStyle w:val="Textkrper"/>
                    <w:jc w:val="left"/>
                    <w:rPr>
                      <w:rFonts w:cstheme="minorHAnsi"/>
                      <w:lang w:val="en-US"/>
                    </w:rPr>
                  </w:pPr>
                  <w:r w:rsidRPr="002E4D67">
                    <w:rPr>
                      <w:rFonts w:cstheme="minorHAnsi"/>
                      <w:lang w:val="en-US"/>
                    </w:rPr>
                    <w:t>Functional staking mechanism and long-term user loyalty rewards</w:t>
                  </w:r>
                </w:p>
              </w:tc>
            </w:tr>
            <w:tr w:rsidR="009A7F1E" w:rsidRPr="002E4D67" w14:paraId="1249D5D1" w14:textId="77777777" w:rsidTr="00D64090">
              <w:trPr>
                <w:tblCellSpacing w:w="15" w:type="dxa"/>
              </w:trPr>
              <w:tc>
                <w:tcPr>
                  <w:tcW w:w="974" w:type="dxa"/>
                  <w:vAlign w:val="center"/>
                  <w:hideMark/>
                </w:tcPr>
                <w:p w14:paraId="21E2CF04" w14:textId="77777777" w:rsidR="009A7F1E" w:rsidRPr="002E4D67" w:rsidRDefault="009A7F1E" w:rsidP="009770E0">
                  <w:pPr>
                    <w:pStyle w:val="Textkrper"/>
                    <w:jc w:val="left"/>
                    <w:rPr>
                      <w:rFonts w:cstheme="minorHAnsi"/>
                      <w:lang w:val="en-US"/>
                    </w:rPr>
                  </w:pPr>
                  <w:r w:rsidRPr="002E4D67">
                    <w:rPr>
                      <w:rFonts w:cstheme="minorHAnsi"/>
                      <w:lang w:val="en-US"/>
                    </w:rPr>
                    <w:t>Treasury &amp; Reserves</w:t>
                  </w:r>
                </w:p>
              </w:tc>
              <w:tc>
                <w:tcPr>
                  <w:tcW w:w="645" w:type="dxa"/>
                  <w:vAlign w:val="center"/>
                  <w:hideMark/>
                </w:tcPr>
                <w:p w14:paraId="152C93DD" w14:textId="77777777" w:rsidR="009A7F1E" w:rsidRPr="002E4D67" w:rsidRDefault="009A7F1E" w:rsidP="009770E0">
                  <w:pPr>
                    <w:pStyle w:val="Textkrper"/>
                    <w:jc w:val="left"/>
                    <w:rPr>
                      <w:rFonts w:cstheme="minorHAnsi"/>
                      <w:lang w:val="en-US"/>
                    </w:rPr>
                  </w:pPr>
                  <w:r w:rsidRPr="002E4D67">
                    <w:rPr>
                      <w:rFonts w:cstheme="minorHAnsi"/>
                      <w:lang w:val="en-US"/>
                    </w:rPr>
                    <w:t>6</w:t>
                  </w:r>
                </w:p>
              </w:tc>
              <w:tc>
                <w:tcPr>
                  <w:tcW w:w="570" w:type="dxa"/>
                  <w:vAlign w:val="center"/>
                  <w:hideMark/>
                </w:tcPr>
                <w:p w14:paraId="6A31483B" w14:textId="77777777" w:rsidR="009A7F1E" w:rsidRPr="002E4D67" w:rsidRDefault="009A7F1E" w:rsidP="009770E0">
                  <w:pPr>
                    <w:pStyle w:val="Textkrper"/>
                    <w:jc w:val="left"/>
                    <w:rPr>
                      <w:rFonts w:cstheme="minorHAnsi"/>
                      <w:lang w:val="en-US"/>
                    </w:rPr>
                  </w:pPr>
                  <w:r w:rsidRPr="002E4D67">
                    <w:rPr>
                      <w:rFonts w:cstheme="minorHAnsi"/>
                      <w:lang w:val="en-US"/>
                    </w:rPr>
                    <w:t>36</w:t>
                  </w:r>
                </w:p>
              </w:tc>
              <w:tc>
                <w:tcPr>
                  <w:tcW w:w="1104" w:type="dxa"/>
                  <w:vAlign w:val="center"/>
                  <w:hideMark/>
                </w:tcPr>
                <w:p w14:paraId="7FACF7CD" w14:textId="77777777" w:rsidR="009A7F1E" w:rsidRPr="002E4D67" w:rsidRDefault="009A7F1E" w:rsidP="009770E0">
                  <w:pPr>
                    <w:pStyle w:val="Textkrper"/>
                    <w:jc w:val="left"/>
                    <w:rPr>
                      <w:rFonts w:cstheme="minorHAnsi"/>
                      <w:lang w:val="en-US"/>
                    </w:rPr>
                  </w:pPr>
                  <w:r w:rsidRPr="002E4D67">
                    <w:rPr>
                      <w:rFonts w:cstheme="minorHAnsi"/>
                      <w:lang w:val="en-US"/>
                    </w:rPr>
                    <w:t>16,000,000</w:t>
                  </w:r>
                </w:p>
              </w:tc>
              <w:tc>
                <w:tcPr>
                  <w:tcW w:w="647" w:type="dxa"/>
                  <w:vAlign w:val="center"/>
                  <w:hideMark/>
                </w:tcPr>
                <w:p w14:paraId="29AB7F71" w14:textId="77777777" w:rsidR="009A7F1E" w:rsidRPr="002E4D67" w:rsidRDefault="009A7F1E" w:rsidP="009770E0">
                  <w:pPr>
                    <w:pStyle w:val="Textkrper"/>
                    <w:jc w:val="left"/>
                    <w:rPr>
                      <w:rFonts w:cstheme="minorHAnsi"/>
                      <w:lang w:val="en-US"/>
                    </w:rPr>
                  </w:pPr>
                  <w:r w:rsidRPr="002E4D67">
                    <w:rPr>
                      <w:rFonts w:cstheme="minorHAnsi"/>
                      <w:lang w:val="en-US"/>
                    </w:rPr>
                    <w:t>16 %</w:t>
                  </w:r>
                </w:p>
              </w:tc>
              <w:tc>
                <w:tcPr>
                  <w:tcW w:w="679" w:type="dxa"/>
                  <w:vAlign w:val="center"/>
                  <w:hideMark/>
                </w:tcPr>
                <w:p w14:paraId="3344D137" w14:textId="77777777" w:rsidR="009A7F1E" w:rsidRPr="002E4D67" w:rsidRDefault="009A7F1E" w:rsidP="009770E0">
                  <w:pPr>
                    <w:pStyle w:val="Textkrper"/>
                    <w:jc w:val="left"/>
                    <w:rPr>
                      <w:rFonts w:cstheme="minorHAnsi"/>
                      <w:lang w:val="en-US"/>
                    </w:rPr>
                  </w:pPr>
                  <w:r w:rsidRPr="002E4D67">
                    <w:rPr>
                      <w:rFonts w:cstheme="minorHAnsi"/>
                      <w:lang w:val="en-US"/>
                    </w:rPr>
                    <w:t>Free allocation</w:t>
                  </w:r>
                </w:p>
              </w:tc>
              <w:tc>
                <w:tcPr>
                  <w:tcW w:w="1372" w:type="dxa"/>
                  <w:vAlign w:val="center"/>
                  <w:hideMark/>
                </w:tcPr>
                <w:p w14:paraId="721B098A" w14:textId="77777777" w:rsidR="009A7F1E" w:rsidRPr="002E4D67" w:rsidRDefault="009A7F1E" w:rsidP="009770E0">
                  <w:pPr>
                    <w:pStyle w:val="Textkrper"/>
                    <w:jc w:val="left"/>
                    <w:rPr>
                      <w:rFonts w:cstheme="minorHAnsi"/>
                      <w:lang w:val="en-US"/>
                    </w:rPr>
                  </w:pPr>
                  <w:r w:rsidRPr="002E4D67">
                    <w:rPr>
                      <w:rFonts w:cstheme="minorHAnsi"/>
                      <w:lang w:val="en-US"/>
                    </w:rPr>
                    <w:t>Reserve assets for ecosystem stability and expansion</w:t>
                  </w:r>
                </w:p>
              </w:tc>
            </w:tr>
            <w:tr w:rsidR="009A7F1E" w:rsidRPr="002E4D67" w14:paraId="22D95E17" w14:textId="77777777" w:rsidTr="00D64090">
              <w:trPr>
                <w:tblCellSpacing w:w="15" w:type="dxa"/>
              </w:trPr>
              <w:tc>
                <w:tcPr>
                  <w:tcW w:w="974" w:type="dxa"/>
                  <w:vAlign w:val="center"/>
                  <w:hideMark/>
                </w:tcPr>
                <w:p w14:paraId="359C6EF2" w14:textId="77777777" w:rsidR="009A7F1E" w:rsidRPr="002E4D67" w:rsidRDefault="009A7F1E" w:rsidP="009770E0">
                  <w:pPr>
                    <w:pStyle w:val="Textkrper"/>
                    <w:jc w:val="left"/>
                    <w:rPr>
                      <w:rFonts w:cstheme="minorHAnsi"/>
                      <w:lang w:val="en-US"/>
                    </w:rPr>
                  </w:pPr>
                  <w:r w:rsidRPr="002E4D67">
                    <w:rPr>
                      <w:rFonts w:cstheme="minorHAnsi"/>
                      <w:lang w:val="en-US"/>
                    </w:rPr>
                    <w:t>Ecosystem Development</w:t>
                  </w:r>
                </w:p>
              </w:tc>
              <w:tc>
                <w:tcPr>
                  <w:tcW w:w="645" w:type="dxa"/>
                  <w:vAlign w:val="center"/>
                  <w:hideMark/>
                </w:tcPr>
                <w:p w14:paraId="4D590059" w14:textId="77777777" w:rsidR="009A7F1E" w:rsidRPr="002E4D67" w:rsidRDefault="009A7F1E" w:rsidP="009770E0">
                  <w:pPr>
                    <w:pStyle w:val="Textkrper"/>
                    <w:jc w:val="left"/>
                    <w:rPr>
                      <w:rFonts w:cstheme="minorHAnsi"/>
                      <w:lang w:val="en-US"/>
                    </w:rPr>
                  </w:pPr>
                  <w:r w:rsidRPr="002E4D67">
                    <w:rPr>
                      <w:rFonts w:cstheme="minorHAnsi"/>
                      <w:lang w:val="en-US"/>
                    </w:rPr>
                    <w:t>0</w:t>
                  </w:r>
                </w:p>
              </w:tc>
              <w:tc>
                <w:tcPr>
                  <w:tcW w:w="570" w:type="dxa"/>
                  <w:vAlign w:val="center"/>
                  <w:hideMark/>
                </w:tcPr>
                <w:p w14:paraId="6A6F2647" w14:textId="77777777" w:rsidR="009A7F1E" w:rsidRPr="002E4D67" w:rsidRDefault="009A7F1E" w:rsidP="009770E0">
                  <w:pPr>
                    <w:pStyle w:val="Textkrper"/>
                    <w:jc w:val="left"/>
                    <w:rPr>
                      <w:rFonts w:cstheme="minorHAnsi"/>
                      <w:lang w:val="en-US"/>
                    </w:rPr>
                  </w:pPr>
                  <w:r w:rsidRPr="002E4D67">
                    <w:rPr>
                      <w:rFonts w:cstheme="minorHAnsi"/>
                      <w:lang w:val="en-US"/>
                    </w:rPr>
                    <w:t>48</w:t>
                  </w:r>
                </w:p>
              </w:tc>
              <w:tc>
                <w:tcPr>
                  <w:tcW w:w="1104" w:type="dxa"/>
                  <w:vAlign w:val="center"/>
                  <w:hideMark/>
                </w:tcPr>
                <w:p w14:paraId="451C6ABA" w14:textId="77777777" w:rsidR="009A7F1E" w:rsidRPr="002E4D67" w:rsidRDefault="009A7F1E" w:rsidP="009770E0">
                  <w:pPr>
                    <w:pStyle w:val="Textkrper"/>
                    <w:jc w:val="left"/>
                    <w:rPr>
                      <w:rFonts w:cstheme="minorHAnsi"/>
                      <w:lang w:val="en-US"/>
                    </w:rPr>
                  </w:pPr>
                  <w:r w:rsidRPr="002E4D67">
                    <w:rPr>
                      <w:rFonts w:cstheme="minorHAnsi"/>
                      <w:lang w:val="en-US"/>
                    </w:rPr>
                    <w:t>15,000,000</w:t>
                  </w:r>
                </w:p>
              </w:tc>
              <w:tc>
                <w:tcPr>
                  <w:tcW w:w="647" w:type="dxa"/>
                  <w:vAlign w:val="center"/>
                  <w:hideMark/>
                </w:tcPr>
                <w:p w14:paraId="6E3741DA" w14:textId="77777777" w:rsidR="009A7F1E" w:rsidRPr="002E4D67" w:rsidRDefault="009A7F1E" w:rsidP="009770E0">
                  <w:pPr>
                    <w:pStyle w:val="Textkrper"/>
                    <w:jc w:val="left"/>
                    <w:rPr>
                      <w:rFonts w:cstheme="minorHAnsi"/>
                      <w:lang w:val="en-US"/>
                    </w:rPr>
                  </w:pPr>
                  <w:r w:rsidRPr="002E4D67">
                    <w:rPr>
                      <w:rFonts w:cstheme="minorHAnsi"/>
                      <w:lang w:val="en-US"/>
                    </w:rPr>
                    <w:t>15 %</w:t>
                  </w:r>
                </w:p>
              </w:tc>
              <w:tc>
                <w:tcPr>
                  <w:tcW w:w="679" w:type="dxa"/>
                  <w:vAlign w:val="center"/>
                  <w:hideMark/>
                </w:tcPr>
                <w:p w14:paraId="58E631B1" w14:textId="77777777" w:rsidR="009A7F1E" w:rsidRPr="002E4D67" w:rsidRDefault="009A7F1E" w:rsidP="009770E0">
                  <w:pPr>
                    <w:pStyle w:val="Textkrper"/>
                    <w:jc w:val="left"/>
                    <w:rPr>
                      <w:rFonts w:cstheme="minorHAnsi"/>
                      <w:lang w:val="en-US"/>
                    </w:rPr>
                  </w:pPr>
                  <w:r w:rsidRPr="002E4D67">
                    <w:rPr>
                      <w:rFonts w:cstheme="minorHAnsi"/>
                      <w:lang w:val="en-US"/>
                    </w:rPr>
                    <w:t>Free allocation</w:t>
                  </w:r>
                </w:p>
              </w:tc>
              <w:tc>
                <w:tcPr>
                  <w:tcW w:w="1372" w:type="dxa"/>
                  <w:vAlign w:val="center"/>
                  <w:hideMark/>
                </w:tcPr>
                <w:p w14:paraId="120D49EA" w14:textId="77777777" w:rsidR="009A7F1E" w:rsidRPr="002E4D67" w:rsidRDefault="009A7F1E" w:rsidP="009770E0">
                  <w:pPr>
                    <w:pStyle w:val="Textkrper"/>
                    <w:jc w:val="left"/>
                    <w:rPr>
                      <w:rFonts w:cstheme="minorHAnsi"/>
                      <w:lang w:val="en-US"/>
                    </w:rPr>
                  </w:pPr>
                  <w:r w:rsidRPr="002E4D67">
                    <w:rPr>
                      <w:rFonts w:cstheme="minorHAnsi"/>
                      <w:lang w:val="en-US"/>
                    </w:rPr>
                    <w:t>Funding for future verticals (Jet, Heli, new Yachts, Discovery programs)</w:t>
                  </w:r>
                </w:p>
              </w:tc>
            </w:tr>
          </w:tbl>
          <w:p w14:paraId="07FB6828" w14:textId="77777777" w:rsidR="009A7F1E" w:rsidRPr="002E4D67" w:rsidRDefault="009A7F1E" w:rsidP="009770E0">
            <w:pPr>
              <w:pStyle w:val="Textkrper"/>
              <w:jc w:val="left"/>
              <w:rPr>
                <w:rFonts w:cstheme="minorHAnsi"/>
                <w:lang w:val="en-US"/>
              </w:rPr>
            </w:pPr>
          </w:p>
          <w:p w14:paraId="52D78B2A" w14:textId="77777777" w:rsidR="009A7F1E" w:rsidRPr="002E4D67" w:rsidRDefault="009A7F1E" w:rsidP="009770E0">
            <w:pPr>
              <w:pStyle w:val="Textkrper"/>
              <w:jc w:val="left"/>
              <w:rPr>
                <w:rFonts w:cstheme="minorHAnsi"/>
                <w:lang w:val="en-US"/>
              </w:rPr>
            </w:pPr>
            <w:r w:rsidRPr="002E4D67">
              <w:rPr>
                <w:rStyle w:val="Fett"/>
                <w:rFonts w:cstheme="minorHAnsi"/>
                <w:lang w:val="en-US"/>
              </w:rPr>
              <w:t>Total Ecosystem / Staking / Treasury Allocation:</w:t>
            </w:r>
            <w:r w:rsidRPr="002E4D67">
              <w:rPr>
                <w:rFonts w:cstheme="minorHAnsi"/>
                <w:lang w:val="en-US"/>
              </w:rPr>
              <w:t xml:space="preserve"> 66 % (66,000,000 tokens)</w:t>
            </w:r>
          </w:p>
          <w:p w14:paraId="2C918B68" w14:textId="77777777" w:rsidR="009A7F1E" w:rsidRPr="002E4D67" w:rsidRDefault="009A7F1E" w:rsidP="009770E0">
            <w:pPr>
              <w:pStyle w:val="Textkrper"/>
              <w:jc w:val="left"/>
              <w:rPr>
                <w:rFonts w:cstheme="minorHAnsi"/>
                <w:bCs/>
                <w:lang w:val="en-US"/>
              </w:rPr>
            </w:pPr>
            <w:r w:rsidRPr="002E4D67">
              <w:rPr>
                <w:rStyle w:val="Fett"/>
                <w:rFonts w:cstheme="minorHAnsi"/>
                <w:lang w:val="en-US"/>
              </w:rPr>
              <w:t>Compliance and Transparency</w:t>
            </w:r>
          </w:p>
          <w:p w14:paraId="669DEC12" w14:textId="77777777" w:rsidR="009A7F1E" w:rsidRPr="002E4D67" w:rsidRDefault="009A7F1E" w:rsidP="009770E0">
            <w:pPr>
              <w:pStyle w:val="Textkrper"/>
              <w:jc w:val="left"/>
              <w:rPr>
                <w:rFonts w:cstheme="minorHAnsi"/>
                <w:lang w:val="en-US"/>
              </w:rPr>
            </w:pPr>
            <w:r w:rsidRPr="002E4D67">
              <w:rPr>
                <w:rFonts w:cstheme="minorHAnsi"/>
                <w:lang w:val="en-US"/>
              </w:rPr>
              <w:t xml:space="preserve">All cliff and vesting periods are </w:t>
            </w:r>
            <w:r w:rsidRPr="002E4D67">
              <w:rPr>
                <w:rStyle w:val="Fett"/>
                <w:rFonts w:cstheme="minorHAnsi"/>
                <w:lang w:val="en-US"/>
              </w:rPr>
              <w:t>encoded on-chain</w:t>
            </w:r>
            <w:r w:rsidRPr="002E4D67">
              <w:rPr>
                <w:rFonts w:cstheme="minorHAnsi"/>
                <w:lang w:val="en-US"/>
              </w:rPr>
              <w:t xml:space="preserve"> and </w:t>
            </w:r>
            <w:r w:rsidRPr="002E4D67">
              <w:rPr>
                <w:rStyle w:val="Fett"/>
                <w:rFonts w:cstheme="minorHAnsi"/>
                <w:lang w:val="en-US"/>
              </w:rPr>
              <w:t>automatically enforced</w:t>
            </w:r>
            <w:r w:rsidRPr="002E4D67">
              <w:rPr>
                <w:rFonts w:cstheme="minorHAnsi"/>
                <w:lang w:val="en-US"/>
              </w:rPr>
              <w:t xml:space="preserve"> by the smart contract.</w:t>
            </w:r>
          </w:p>
          <w:p w14:paraId="53765FD4" w14:textId="77777777" w:rsidR="009A7F1E" w:rsidRPr="002E4D67" w:rsidRDefault="009A7F1E" w:rsidP="009770E0">
            <w:pPr>
              <w:pStyle w:val="Textkrper"/>
              <w:jc w:val="left"/>
              <w:rPr>
                <w:rFonts w:cstheme="minorHAnsi"/>
                <w:lang w:val="en-US"/>
              </w:rPr>
            </w:pPr>
            <w:r w:rsidRPr="002E4D67">
              <w:rPr>
                <w:rFonts w:cstheme="minorHAnsi"/>
                <w:lang w:val="en-US"/>
              </w:rPr>
              <w:t xml:space="preserve">Tokens remain </w:t>
            </w:r>
            <w:r w:rsidRPr="002E4D67">
              <w:rPr>
                <w:rStyle w:val="Fett"/>
                <w:rFonts w:cstheme="minorHAnsi"/>
                <w:lang w:val="en-US"/>
              </w:rPr>
              <w:t>non-transferable until released</w:t>
            </w:r>
            <w:r w:rsidRPr="002E4D67">
              <w:rPr>
                <w:rFonts w:cstheme="minorHAnsi"/>
                <w:lang w:val="en-US"/>
              </w:rPr>
              <w:t>; early transfers or trading are technically restricted.</w:t>
            </w:r>
          </w:p>
          <w:p w14:paraId="7F473A6D" w14:textId="77777777" w:rsidR="009A7F1E" w:rsidRPr="002E4D67" w:rsidRDefault="009A7F1E" w:rsidP="009770E0">
            <w:pPr>
              <w:pStyle w:val="Textkrper"/>
              <w:jc w:val="left"/>
              <w:rPr>
                <w:rFonts w:cstheme="minorHAnsi"/>
                <w:lang w:val="en-US"/>
              </w:rPr>
            </w:pPr>
            <w:r w:rsidRPr="002E4D67">
              <w:rPr>
                <w:rStyle w:val="Fett"/>
                <w:rFonts w:cstheme="minorHAnsi"/>
                <w:lang w:val="en-US"/>
              </w:rPr>
              <w:t>No additional token issuance or supply increase</w:t>
            </w:r>
            <w:r w:rsidRPr="002E4D67">
              <w:rPr>
                <w:rFonts w:cstheme="minorHAnsi"/>
                <w:lang w:val="en-US"/>
              </w:rPr>
              <w:t xml:space="preserve"> is possible under the current contract.</w:t>
            </w:r>
          </w:p>
          <w:p w14:paraId="6A9975CF" w14:textId="77777777" w:rsidR="009A7F1E" w:rsidRPr="002E4D67" w:rsidRDefault="009A7F1E" w:rsidP="009770E0">
            <w:pPr>
              <w:pStyle w:val="Textkrper"/>
              <w:jc w:val="left"/>
              <w:rPr>
                <w:rFonts w:cstheme="minorHAnsi"/>
                <w:lang w:val="en-US"/>
              </w:rPr>
            </w:pPr>
            <w:r w:rsidRPr="002E4D67">
              <w:rPr>
                <w:rFonts w:cstheme="minorHAnsi"/>
                <w:lang w:val="en-US"/>
              </w:rPr>
              <w:t xml:space="preserve">Unsold tokens from funding rounds may be either transferred to the </w:t>
            </w:r>
            <w:r w:rsidRPr="002E4D67">
              <w:rPr>
                <w:rStyle w:val="Fett"/>
                <w:rFonts w:cstheme="minorHAnsi"/>
                <w:lang w:val="en-US"/>
              </w:rPr>
              <w:t>Treasury Reserve</w:t>
            </w:r>
            <w:r w:rsidRPr="002E4D67">
              <w:rPr>
                <w:rFonts w:cstheme="minorHAnsi"/>
                <w:lang w:val="en-US"/>
              </w:rPr>
              <w:t xml:space="preserve"> or </w:t>
            </w:r>
            <w:r w:rsidRPr="002E4D67">
              <w:rPr>
                <w:rStyle w:val="Fett"/>
                <w:rFonts w:cstheme="minorHAnsi"/>
                <w:lang w:val="en-US"/>
              </w:rPr>
              <w:t>burned</w:t>
            </w:r>
            <w:r w:rsidRPr="002E4D67">
              <w:rPr>
                <w:rFonts w:cstheme="minorHAnsi"/>
                <w:lang w:val="en-US"/>
              </w:rPr>
              <w:t>, depending on governance decisions.</w:t>
            </w:r>
          </w:p>
          <w:p w14:paraId="1C497D1D" w14:textId="77777777" w:rsidR="009A7F1E" w:rsidRPr="002E4D67" w:rsidRDefault="009A7F1E" w:rsidP="009770E0">
            <w:pPr>
              <w:pStyle w:val="Textkrper"/>
              <w:jc w:val="left"/>
              <w:rPr>
                <w:rFonts w:cstheme="minorHAnsi"/>
                <w:lang w:val="en-US"/>
              </w:rPr>
            </w:pPr>
            <w:r w:rsidRPr="002E4D67">
              <w:rPr>
                <w:rFonts w:cstheme="minorHAnsi"/>
                <w:lang w:val="en-US"/>
              </w:rPr>
              <w:t xml:space="preserve">WYND tokens are </w:t>
            </w:r>
            <w:r w:rsidRPr="002E4D67">
              <w:rPr>
                <w:rStyle w:val="Fett"/>
                <w:rFonts w:cstheme="minorHAnsi"/>
                <w:lang w:val="en-US"/>
              </w:rPr>
              <w:t>not listed</w:t>
            </w:r>
            <w:r w:rsidRPr="002E4D67">
              <w:rPr>
                <w:rFonts w:cstheme="minorHAnsi"/>
                <w:lang w:val="en-US"/>
              </w:rPr>
              <w:t xml:space="preserve"> on trading platforms; peer-to-peer transfers may occur at the holder’s own risk and responsibility.</w:t>
            </w:r>
          </w:p>
          <w:p w14:paraId="3386D44E" w14:textId="2ED82797" w:rsidR="009A7F1E" w:rsidRPr="002E4D67" w:rsidRDefault="009A7F1E" w:rsidP="009770E0">
            <w:pPr>
              <w:pStyle w:val="Textkrper"/>
              <w:jc w:val="left"/>
              <w:rPr>
                <w:rFonts w:cstheme="minorHAnsi"/>
                <w:lang w:val="en-US"/>
              </w:rPr>
            </w:pPr>
            <w:r w:rsidRPr="002E4D67">
              <w:rPr>
                <w:rFonts w:cstheme="minorHAnsi"/>
                <w:lang w:val="en-US"/>
              </w:rPr>
              <w:t xml:space="preserve">All operations are conducted in accordance with </w:t>
            </w:r>
            <w:r w:rsidRPr="002E4D67">
              <w:rPr>
                <w:rStyle w:val="Fett"/>
                <w:rFonts w:cstheme="minorHAnsi"/>
                <w:lang w:val="en-US"/>
              </w:rPr>
              <w:t>MiCAR</w:t>
            </w:r>
            <w:r w:rsidRPr="002E4D67">
              <w:rPr>
                <w:rFonts w:cstheme="minorHAnsi"/>
                <w:lang w:val="en-US"/>
              </w:rPr>
              <w:t xml:space="preserve">, </w:t>
            </w:r>
            <w:r w:rsidRPr="002E4D67">
              <w:rPr>
                <w:rStyle w:val="Fett"/>
                <w:rFonts w:cstheme="minorHAnsi"/>
                <w:lang w:val="en-US"/>
              </w:rPr>
              <w:t>German Civil Law (BGB)</w:t>
            </w:r>
            <w:r w:rsidRPr="002E4D67">
              <w:rPr>
                <w:rFonts w:cstheme="minorHAnsi"/>
                <w:lang w:val="en-US"/>
              </w:rPr>
              <w:t xml:space="preserve">, and </w:t>
            </w:r>
            <w:r w:rsidRPr="002E4D67">
              <w:rPr>
                <w:rStyle w:val="Fett"/>
                <w:rFonts w:cstheme="minorHAnsi"/>
                <w:lang w:val="en-US"/>
              </w:rPr>
              <w:t>BaFin guidelines</w:t>
            </w:r>
            <w:r w:rsidRPr="002E4D67">
              <w:rPr>
                <w:rFonts w:cstheme="minorHAnsi"/>
                <w:lang w:val="en-US"/>
              </w:rPr>
              <w:t xml:space="preserve"> for utility-token offerings.</w:t>
            </w:r>
          </w:p>
          <w:p w14:paraId="568B7A78" w14:textId="77777777" w:rsidR="009A7F1E" w:rsidRPr="002E4D67" w:rsidRDefault="009A7F1E" w:rsidP="009770E0">
            <w:pPr>
              <w:pStyle w:val="Textkrper"/>
              <w:jc w:val="left"/>
              <w:rPr>
                <w:rFonts w:cstheme="minorHAnsi"/>
                <w:bCs/>
                <w:lang w:val="en-US"/>
              </w:rPr>
            </w:pPr>
            <w:r w:rsidRPr="002E4D67">
              <w:rPr>
                <w:rStyle w:val="Fett"/>
                <w:rFonts w:cstheme="minorHAnsi"/>
                <w:lang w:val="en-US"/>
              </w:rPr>
              <w:t>Summary</w:t>
            </w:r>
          </w:p>
          <w:tbl>
            <w:tblPr>
              <w:tblW w:w="5980" w:type="dxa"/>
              <w:tblCellSpacing w:w="15" w:type="dxa"/>
              <w:tblCellMar>
                <w:top w:w="15" w:type="dxa"/>
                <w:left w:w="15" w:type="dxa"/>
                <w:bottom w:w="15" w:type="dxa"/>
                <w:right w:w="15" w:type="dxa"/>
              </w:tblCellMar>
              <w:tblLook w:val="04A0" w:firstRow="1" w:lastRow="0" w:firstColumn="1" w:lastColumn="0" w:noHBand="0" w:noVBand="1"/>
            </w:tblPr>
            <w:tblGrid>
              <w:gridCol w:w="3003"/>
              <w:gridCol w:w="1418"/>
              <w:gridCol w:w="1559"/>
            </w:tblGrid>
            <w:tr w:rsidR="009A7F1E" w:rsidRPr="002E4D67" w14:paraId="335A3A77" w14:textId="77777777" w:rsidTr="00D64090">
              <w:trPr>
                <w:tblHeader/>
                <w:tblCellSpacing w:w="15" w:type="dxa"/>
              </w:trPr>
              <w:tc>
                <w:tcPr>
                  <w:tcW w:w="2958" w:type="dxa"/>
                  <w:vAlign w:val="center"/>
                  <w:hideMark/>
                </w:tcPr>
                <w:p w14:paraId="3FE62808" w14:textId="77777777" w:rsidR="009A7F1E" w:rsidRPr="002E4D67" w:rsidRDefault="009A7F1E" w:rsidP="009770E0">
                  <w:pPr>
                    <w:pStyle w:val="Textkrper"/>
                    <w:jc w:val="left"/>
                    <w:rPr>
                      <w:rFonts w:cstheme="minorHAnsi"/>
                      <w:lang w:val="en-US"/>
                    </w:rPr>
                  </w:pPr>
                  <w:r w:rsidRPr="002E4D67">
                    <w:rPr>
                      <w:rStyle w:val="Fett"/>
                      <w:rFonts w:cstheme="minorHAnsi"/>
                      <w:lang w:val="en-US"/>
                    </w:rPr>
                    <w:t>Category</w:t>
                  </w:r>
                </w:p>
              </w:tc>
              <w:tc>
                <w:tcPr>
                  <w:tcW w:w="1388" w:type="dxa"/>
                  <w:vAlign w:val="center"/>
                  <w:hideMark/>
                </w:tcPr>
                <w:p w14:paraId="7B9A9DF5" w14:textId="77777777" w:rsidR="009A7F1E" w:rsidRPr="002E4D67" w:rsidRDefault="009A7F1E" w:rsidP="009770E0">
                  <w:pPr>
                    <w:pStyle w:val="Textkrper"/>
                    <w:jc w:val="left"/>
                    <w:rPr>
                      <w:rFonts w:cstheme="minorHAnsi"/>
                      <w:lang w:val="en-US"/>
                    </w:rPr>
                  </w:pPr>
                  <w:r w:rsidRPr="002E4D67">
                    <w:rPr>
                      <w:rStyle w:val="Fett"/>
                      <w:rFonts w:cstheme="minorHAnsi"/>
                      <w:lang w:val="en-US"/>
                    </w:rPr>
                    <w:t>% of Total Supply</w:t>
                  </w:r>
                </w:p>
              </w:tc>
              <w:tc>
                <w:tcPr>
                  <w:tcW w:w="1514" w:type="dxa"/>
                  <w:vAlign w:val="center"/>
                  <w:hideMark/>
                </w:tcPr>
                <w:p w14:paraId="75AAC526" w14:textId="77777777" w:rsidR="009A7F1E" w:rsidRPr="002E4D67" w:rsidRDefault="009A7F1E" w:rsidP="009770E0">
                  <w:pPr>
                    <w:pStyle w:val="Textkrper"/>
                    <w:jc w:val="left"/>
                    <w:rPr>
                      <w:rFonts w:cstheme="minorHAnsi"/>
                      <w:lang w:val="en-US"/>
                    </w:rPr>
                  </w:pPr>
                  <w:r w:rsidRPr="002E4D67">
                    <w:rPr>
                      <w:rStyle w:val="Fett"/>
                      <w:rFonts w:cstheme="minorHAnsi"/>
                      <w:lang w:val="en-US"/>
                    </w:rPr>
                    <w:t>Tokens</w:t>
                  </w:r>
                </w:p>
              </w:tc>
            </w:tr>
            <w:tr w:rsidR="009A7F1E" w:rsidRPr="002E4D67" w14:paraId="7EE73977" w14:textId="77777777" w:rsidTr="00D64090">
              <w:trPr>
                <w:tblCellSpacing w:w="15" w:type="dxa"/>
              </w:trPr>
              <w:tc>
                <w:tcPr>
                  <w:tcW w:w="2958" w:type="dxa"/>
                  <w:vAlign w:val="center"/>
                  <w:hideMark/>
                </w:tcPr>
                <w:p w14:paraId="2781C438" w14:textId="77777777" w:rsidR="009A7F1E" w:rsidRPr="002E4D67" w:rsidRDefault="009A7F1E" w:rsidP="009770E0">
                  <w:pPr>
                    <w:pStyle w:val="Textkrper"/>
                    <w:jc w:val="left"/>
                    <w:rPr>
                      <w:rFonts w:cstheme="minorHAnsi"/>
                      <w:lang w:val="en-US"/>
                    </w:rPr>
                  </w:pPr>
                  <w:r w:rsidRPr="002E4D67">
                    <w:rPr>
                      <w:rFonts w:cstheme="minorHAnsi"/>
                      <w:lang w:val="en-US"/>
                    </w:rPr>
                    <w:t>Funding Rounds</w:t>
                  </w:r>
                </w:p>
              </w:tc>
              <w:tc>
                <w:tcPr>
                  <w:tcW w:w="1388" w:type="dxa"/>
                  <w:vAlign w:val="center"/>
                  <w:hideMark/>
                </w:tcPr>
                <w:p w14:paraId="38515BC8" w14:textId="77777777" w:rsidR="009A7F1E" w:rsidRPr="002E4D67" w:rsidRDefault="009A7F1E" w:rsidP="009770E0">
                  <w:pPr>
                    <w:pStyle w:val="Textkrper"/>
                    <w:jc w:val="left"/>
                    <w:rPr>
                      <w:rFonts w:cstheme="minorHAnsi"/>
                      <w:lang w:val="en-US"/>
                    </w:rPr>
                  </w:pPr>
                  <w:r w:rsidRPr="002E4D67">
                    <w:rPr>
                      <w:rFonts w:cstheme="minorHAnsi"/>
                      <w:lang w:val="en-US"/>
                    </w:rPr>
                    <w:t>16 %</w:t>
                  </w:r>
                </w:p>
              </w:tc>
              <w:tc>
                <w:tcPr>
                  <w:tcW w:w="1514" w:type="dxa"/>
                  <w:vAlign w:val="center"/>
                  <w:hideMark/>
                </w:tcPr>
                <w:p w14:paraId="243ACD6B" w14:textId="77777777" w:rsidR="009A7F1E" w:rsidRPr="002E4D67" w:rsidRDefault="009A7F1E" w:rsidP="009770E0">
                  <w:pPr>
                    <w:pStyle w:val="Textkrper"/>
                    <w:jc w:val="left"/>
                    <w:rPr>
                      <w:rFonts w:cstheme="minorHAnsi"/>
                      <w:lang w:val="en-US"/>
                    </w:rPr>
                  </w:pPr>
                  <w:r w:rsidRPr="002E4D67">
                    <w:rPr>
                      <w:rFonts w:cstheme="minorHAnsi"/>
                      <w:lang w:val="en-US"/>
                    </w:rPr>
                    <w:t>16,000,000</w:t>
                  </w:r>
                </w:p>
              </w:tc>
            </w:tr>
            <w:tr w:rsidR="009A7F1E" w:rsidRPr="002E4D67" w14:paraId="4C025A8B" w14:textId="77777777" w:rsidTr="00D64090">
              <w:trPr>
                <w:tblCellSpacing w:w="15" w:type="dxa"/>
              </w:trPr>
              <w:tc>
                <w:tcPr>
                  <w:tcW w:w="2958" w:type="dxa"/>
                  <w:vAlign w:val="center"/>
                  <w:hideMark/>
                </w:tcPr>
                <w:p w14:paraId="079481E5" w14:textId="77777777" w:rsidR="009A7F1E" w:rsidRPr="002E4D67" w:rsidRDefault="009A7F1E" w:rsidP="009770E0">
                  <w:pPr>
                    <w:pStyle w:val="Textkrper"/>
                    <w:jc w:val="left"/>
                    <w:rPr>
                      <w:rFonts w:cstheme="minorHAnsi"/>
                      <w:lang w:val="en-US"/>
                    </w:rPr>
                  </w:pPr>
                  <w:r w:rsidRPr="002E4D67">
                    <w:rPr>
                      <w:rFonts w:cstheme="minorHAnsi"/>
                      <w:lang w:val="en-US"/>
                    </w:rPr>
                    <w:t>Team &amp; Advisory</w:t>
                  </w:r>
                </w:p>
              </w:tc>
              <w:tc>
                <w:tcPr>
                  <w:tcW w:w="1388" w:type="dxa"/>
                  <w:vAlign w:val="center"/>
                  <w:hideMark/>
                </w:tcPr>
                <w:p w14:paraId="6747E4D0" w14:textId="77777777" w:rsidR="009A7F1E" w:rsidRPr="002E4D67" w:rsidRDefault="009A7F1E" w:rsidP="009770E0">
                  <w:pPr>
                    <w:pStyle w:val="Textkrper"/>
                    <w:jc w:val="left"/>
                    <w:rPr>
                      <w:rFonts w:cstheme="minorHAnsi"/>
                      <w:lang w:val="en-US"/>
                    </w:rPr>
                  </w:pPr>
                  <w:r w:rsidRPr="002E4D67">
                    <w:rPr>
                      <w:rFonts w:cstheme="minorHAnsi"/>
                      <w:lang w:val="en-US"/>
                    </w:rPr>
                    <w:t>18 %</w:t>
                  </w:r>
                </w:p>
              </w:tc>
              <w:tc>
                <w:tcPr>
                  <w:tcW w:w="1514" w:type="dxa"/>
                  <w:vAlign w:val="center"/>
                  <w:hideMark/>
                </w:tcPr>
                <w:p w14:paraId="4C21E95C" w14:textId="77777777" w:rsidR="009A7F1E" w:rsidRPr="002E4D67" w:rsidRDefault="009A7F1E" w:rsidP="009770E0">
                  <w:pPr>
                    <w:pStyle w:val="Textkrper"/>
                    <w:jc w:val="left"/>
                    <w:rPr>
                      <w:rFonts w:cstheme="minorHAnsi"/>
                      <w:lang w:val="en-US"/>
                    </w:rPr>
                  </w:pPr>
                  <w:r w:rsidRPr="002E4D67">
                    <w:rPr>
                      <w:rFonts w:cstheme="minorHAnsi"/>
                      <w:lang w:val="en-US"/>
                    </w:rPr>
                    <w:t>18,000,000</w:t>
                  </w:r>
                </w:p>
              </w:tc>
            </w:tr>
            <w:tr w:rsidR="009A7F1E" w:rsidRPr="002E4D67" w14:paraId="5C71886E" w14:textId="77777777" w:rsidTr="00D64090">
              <w:trPr>
                <w:tblCellSpacing w:w="15" w:type="dxa"/>
              </w:trPr>
              <w:tc>
                <w:tcPr>
                  <w:tcW w:w="2958" w:type="dxa"/>
                  <w:vAlign w:val="center"/>
                  <w:hideMark/>
                </w:tcPr>
                <w:p w14:paraId="11586476" w14:textId="77777777" w:rsidR="009A7F1E" w:rsidRPr="002E4D67" w:rsidRDefault="009A7F1E" w:rsidP="009770E0">
                  <w:pPr>
                    <w:pStyle w:val="Textkrper"/>
                    <w:jc w:val="left"/>
                    <w:rPr>
                      <w:rFonts w:cstheme="minorHAnsi"/>
                      <w:lang w:val="en-US"/>
                    </w:rPr>
                  </w:pPr>
                  <w:r w:rsidRPr="002E4D67">
                    <w:rPr>
                      <w:rFonts w:cstheme="minorHAnsi"/>
                      <w:lang w:val="en-US"/>
                    </w:rPr>
                    <w:t>Ecosystem / Staking / Treasury</w:t>
                  </w:r>
                </w:p>
              </w:tc>
              <w:tc>
                <w:tcPr>
                  <w:tcW w:w="1388" w:type="dxa"/>
                  <w:vAlign w:val="center"/>
                  <w:hideMark/>
                </w:tcPr>
                <w:p w14:paraId="0712ADCE" w14:textId="77777777" w:rsidR="009A7F1E" w:rsidRPr="002E4D67" w:rsidRDefault="009A7F1E" w:rsidP="009770E0">
                  <w:pPr>
                    <w:pStyle w:val="Textkrper"/>
                    <w:jc w:val="left"/>
                    <w:rPr>
                      <w:rFonts w:cstheme="minorHAnsi"/>
                      <w:lang w:val="en-US"/>
                    </w:rPr>
                  </w:pPr>
                  <w:r w:rsidRPr="002E4D67">
                    <w:rPr>
                      <w:rFonts w:cstheme="minorHAnsi"/>
                      <w:lang w:val="en-US"/>
                    </w:rPr>
                    <w:t>66 %</w:t>
                  </w:r>
                </w:p>
              </w:tc>
              <w:tc>
                <w:tcPr>
                  <w:tcW w:w="1514" w:type="dxa"/>
                  <w:vAlign w:val="center"/>
                  <w:hideMark/>
                </w:tcPr>
                <w:p w14:paraId="72A26E62" w14:textId="77777777" w:rsidR="009A7F1E" w:rsidRPr="002E4D67" w:rsidRDefault="009A7F1E" w:rsidP="009770E0">
                  <w:pPr>
                    <w:pStyle w:val="Textkrper"/>
                    <w:jc w:val="left"/>
                    <w:rPr>
                      <w:rFonts w:cstheme="minorHAnsi"/>
                      <w:lang w:val="en-US"/>
                    </w:rPr>
                  </w:pPr>
                  <w:r w:rsidRPr="002E4D67">
                    <w:rPr>
                      <w:rFonts w:cstheme="minorHAnsi"/>
                      <w:lang w:val="en-US"/>
                    </w:rPr>
                    <w:t>66,000,000</w:t>
                  </w:r>
                </w:p>
              </w:tc>
            </w:tr>
            <w:tr w:rsidR="009A7F1E" w:rsidRPr="002E4D67" w14:paraId="20951570" w14:textId="77777777" w:rsidTr="00D64090">
              <w:trPr>
                <w:tblCellSpacing w:w="15" w:type="dxa"/>
              </w:trPr>
              <w:tc>
                <w:tcPr>
                  <w:tcW w:w="2958" w:type="dxa"/>
                  <w:vAlign w:val="center"/>
                  <w:hideMark/>
                </w:tcPr>
                <w:p w14:paraId="0A8BD448" w14:textId="77777777" w:rsidR="009A7F1E" w:rsidRPr="002E4D67" w:rsidRDefault="009A7F1E" w:rsidP="009770E0">
                  <w:pPr>
                    <w:pStyle w:val="Textkrper"/>
                    <w:jc w:val="left"/>
                    <w:rPr>
                      <w:rFonts w:cstheme="minorHAnsi"/>
                      <w:lang w:val="en-US"/>
                    </w:rPr>
                  </w:pPr>
                  <w:r w:rsidRPr="002E4D67">
                    <w:rPr>
                      <w:rStyle w:val="Fett"/>
                      <w:rFonts w:cstheme="minorHAnsi"/>
                      <w:lang w:val="en-US"/>
                    </w:rPr>
                    <w:t>Total Supply</w:t>
                  </w:r>
                </w:p>
              </w:tc>
              <w:tc>
                <w:tcPr>
                  <w:tcW w:w="1388" w:type="dxa"/>
                  <w:vAlign w:val="center"/>
                  <w:hideMark/>
                </w:tcPr>
                <w:p w14:paraId="315B8C59" w14:textId="77777777" w:rsidR="009A7F1E" w:rsidRPr="002E4D67" w:rsidRDefault="009A7F1E" w:rsidP="009770E0">
                  <w:pPr>
                    <w:pStyle w:val="Textkrper"/>
                    <w:jc w:val="left"/>
                    <w:rPr>
                      <w:rFonts w:cstheme="minorHAnsi"/>
                      <w:lang w:val="en-US"/>
                    </w:rPr>
                  </w:pPr>
                  <w:r w:rsidRPr="002E4D67">
                    <w:rPr>
                      <w:rStyle w:val="Fett"/>
                      <w:rFonts w:cstheme="minorHAnsi"/>
                      <w:lang w:val="en-US"/>
                    </w:rPr>
                    <w:t>100 %</w:t>
                  </w:r>
                </w:p>
              </w:tc>
              <w:tc>
                <w:tcPr>
                  <w:tcW w:w="1514" w:type="dxa"/>
                  <w:vAlign w:val="center"/>
                  <w:hideMark/>
                </w:tcPr>
                <w:p w14:paraId="20240308" w14:textId="77777777" w:rsidR="009A7F1E" w:rsidRPr="002E4D67" w:rsidRDefault="009A7F1E" w:rsidP="009770E0">
                  <w:pPr>
                    <w:pStyle w:val="Textkrper"/>
                    <w:jc w:val="left"/>
                    <w:rPr>
                      <w:rFonts w:cstheme="minorHAnsi"/>
                      <w:lang w:val="en-US"/>
                    </w:rPr>
                  </w:pPr>
                  <w:r w:rsidRPr="002E4D67">
                    <w:rPr>
                      <w:rStyle w:val="Fett"/>
                      <w:rFonts w:cstheme="minorHAnsi"/>
                      <w:lang w:val="en-US"/>
                    </w:rPr>
                    <w:t>100,000,000 $WYND</w:t>
                  </w:r>
                </w:p>
              </w:tc>
            </w:tr>
          </w:tbl>
          <w:p w14:paraId="71814F99" w14:textId="5F6F0483" w:rsidR="009A7F1E" w:rsidRPr="002E4D67" w:rsidRDefault="008238D0" w:rsidP="009770E0">
            <w:pPr>
              <w:pStyle w:val="Textkrper"/>
              <w:jc w:val="left"/>
              <w:rPr>
                <w:rFonts w:cstheme="minorHAnsi"/>
                <w:u w:color="0000FF"/>
                <w:lang w:val="en-US"/>
              </w:rPr>
            </w:pPr>
            <w:bookmarkStart w:id="34" w:name="_cp_change_174"/>
            <w:bookmarkEnd w:id="33"/>
            <w:r>
              <w:t xml:space="preserve">No admission to trading is sought </w:t>
            </w:r>
            <w:r>
              <w:rPr>
                <w:rStyle w:val="Hervorhebung"/>
              </w:rPr>
              <w:t>during the public offer</w:t>
            </w:r>
            <w:r>
              <w:t>.</w:t>
            </w:r>
            <w:r>
              <w:br/>
              <w:t>After the public offer, trading on decentralized or centralized exchanges operated by independent third parties may occur.</w:t>
            </w:r>
            <w:r w:rsidR="009A7F1E" w:rsidRPr="002E4D67">
              <w:rPr>
                <w:rFonts w:cstheme="minorHAnsi"/>
                <w:u w:color="0000FF"/>
                <w:lang w:val="en-US"/>
              </w:rPr>
              <w:t xml:space="preserve"> </w:t>
            </w:r>
            <w:bookmarkEnd w:id="34"/>
          </w:p>
        </w:tc>
      </w:tr>
      <w:tr w:rsidR="009A7F1E" w:rsidRPr="002E4D67" w14:paraId="113D42BB" w14:textId="77777777" w:rsidTr="005E34CE">
        <w:tc>
          <w:tcPr>
            <w:tcW w:w="8356" w:type="dxa"/>
            <w:gridSpan w:val="2"/>
          </w:tcPr>
          <w:p w14:paraId="5BF2EB64" w14:textId="5D9D2E2C" w:rsidR="009A7F1E" w:rsidRPr="002E4D67" w:rsidRDefault="009A7F1E" w:rsidP="009A7F1E">
            <w:pPr>
              <w:pStyle w:val="berschrift1"/>
              <w:keepNext w:val="0"/>
              <w:keepLines w:val="0"/>
              <w:rPr>
                <w:lang w:val="en-US"/>
              </w:rPr>
            </w:pPr>
            <w:bookmarkStart w:id="35" w:name="_Toc213179112"/>
            <w:r w:rsidRPr="002E4D67">
              <w:rPr>
                <w:lang w:val="en-US"/>
              </w:rPr>
              <w:lastRenderedPageBreak/>
              <w:t>Part A – Information about the offeror or the person seeking admission to trading</w:t>
            </w:r>
            <w:bookmarkEnd w:id="35"/>
          </w:p>
        </w:tc>
      </w:tr>
      <w:tr w:rsidR="009A7F1E" w:rsidRPr="002E4D67" w14:paraId="3C1C59E6" w14:textId="77777777" w:rsidTr="00D64090">
        <w:tc>
          <w:tcPr>
            <w:tcW w:w="1985" w:type="dxa"/>
          </w:tcPr>
          <w:p w14:paraId="2316F43D" w14:textId="0C693EAB" w:rsidR="009A7F1E" w:rsidRPr="002E4D67" w:rsidRDefault="009A7F1E" w:rsidP="009A7F1E">
            <w:pPr>
              <w:pStyle w:val="berschrift1"/>
              <w:keepNext w:val="0"/>
              <w:keepLines w:val="0"/>
              <w:rPr>
                <w:lang w:val="en-US"/>
              </w:rPr>
            </w:pPr>
            <w:bookmarkStart w:id="36" w:name="_Toc212017816"/>
            <w:bookmarkStart w:id="37" w:name="_Toc213164129"/>
            <w:bookmarkStart w:id="38" w:name="_Toc213179113"/>
            <w:r w:rsidRPr="002E4D67">
              <w:rPr>
                <w:lang w:val="en-US"/>
              </w:rPr>
              <w:lastRenderedPageBreak/>
              <w:t>A.1 Name</w:t>
            </w:r>
            <w:bookmarkEnd w:id="36"/>
            <w:bookmarkEnd w:id="37"/>
            <w:bookmarkEnd w:id="38"/>
          </w:p>
        </w:tc>
        <w:tc>
          <w:tcPr>
            <w:tcW w:w="6371" w:type="dxa"/>
          </w:tcPr>
          <w:p w14:paraId="42A48202" w14:textId="77777777" w:rsidR="009A7F1E" w:rsidRPr="002E4D67" w:rsidRDefault="009A7F1E" w:rsidP="009A7F1E">
            <w:pPr>
              <w:pStyle w:val="Textkrper"/>
              <w:rPr>
                <w:rFonts w:cstheme="minorHAnsi"/>
                <w:lang w:val="en-US"/>
              </w:rPr>
            </w:pPr>
            <w:bookmarkStart w:id="39" w:name="_cp_change_199"/>
            <w:r w:rsidRPr="002E4D67">
              <w:rPr>
                <w:rFonts w:cstheme="minorHAnsi"/>
                <w:lang w:val="en-US"/>
              </w:rPr>
              <w:t>WYND</w:t>
            </w:r>
            <w:bookmarkEnd w:id="39"/>
            <w:r w:rsidRPr="002E4D67">
              <w:rPr>
                <w:rFonts w:cstheme="minorHAnsi"/>
                <w:lang w:val="en-US"/>
              </w:rPr>
              <w:t xml:space="preserve"> Capital GmbH</w:t>
            </w:r>
          </w:p>
        </w:tc>
      </w:tr>
      <w:tr w:rsidR="009A7F1E" w:rsidRPr="002E4D67" w14:paraId="430E9C3C" w14:textId="77777777" w:rsidTr="00D64090">
        <w:tc>
          <w:tcPr>
            <w:tcW w:w="1985" w:type="dxa"/>
          </w:tcPr>
          <w:p w14:paraId="061B9B75" w14:textId="35B54AAC" w:rsidR="009A7F1E" w:rsidRPr="002E4D67" w:rsidRDefault="009A7F1E" w:rsidP="009A7F1E">
            <w:pPr>
              <w:pStyle w:val="berschrift1"/>
              <w:keepNext w:val="0"/>
              <w:keepLines w:val="0"/>
              <w:rPr>
                <w:lang w:val="en-US"/>
              </w:rPr>
            </w:pPr>
            <w:bookmarkStart w:id="40" w:name="_Toc212017818"/>
            <w:bookmarkStart w:id="41" w:name="_Toc213164130"/>
            <w:bookmarkStart w:id="42" w:name="_Toc213179114"/>
            <w:r w:rsidRPr="002E4D67">
              <w:rPr>
                <w:lang w:val="en-US"/>
              </w:rPr>
              <w:t>A.2 Legal Form</w:t>
            </w:r>
            <w:bookmarkEnd w:id="40"/>
            <w:bookmarkEnd w:id="41"/>
            <w:bookmarkEnd w:id="42"/>
          </w:p>
        </w:tc>
        <w:tc>
          <w:tcPr>
            <w:tcW w:w="6371" w:type="dxa"/>
          </w:tcPr>
          <w:p w14:paraId="6C278462" w14:textId="032D8F36" w:rsidR="009A7F1E" w:rsidRPr="002E4D67" w:rsidRDefault="009A7F1E" w:rsidP="009A7F1E">
            <w:pPr>
              <w:pStyle w:val="Textkrper"/>
              <w:rPr>
                <w:rFonts w:cstheme="minorHAnsi"/>
                <w:lang w:val="en-US"/>
              </w:rPr>
            </w:pPr>
            <w:bookmarkStart w:id="43" w:name="_cp_change_200"/>
            <w:r w:rsidRPr="002E4D67">
              <w:rPr>
                <w:rStyle w:val="Fett"/>
                <w:rFonts w:cstheme="minorHAnsi"/>
                <w:lang w:val="en-US"/>
              </w:rPr>
              <w:t>WYND Capital GmbH</w:t>
            </w:r>
            <w:r w:rsidRPr="002E4D67">
              <w:rPr>
                <w:rFonts w:cstheme="minorHAnsi"/>
                <w:lang w:val="en-US"/>
              </w:rPr>
              <w:t xml:space="preserve"> is incorporated as a </w:t>
            </w:r>
            <w:r w:rsidRPr="002E4D67">
              <w:rPr>
                <w:rStyle w:val="Fett"/>
                <w:rFonts w:cstheme="minorHAnsi"/>
                <w:lang w:val="en-US"/>
              </w:rPr>
              <w:t>Gesellschaft mit beschränkter Haftung (GmbH)</w:t>
            </w:r>
            <w:r w:rsidRPr="002E4D67">
              <w:rPr>
                <w:rFonts w:cstheme="minorHAnsi"/>
                <w:lang w:val="en-US"/>
              </w:rPr>
              <w:t xml:space="preserve"> under the laws of the Federal Republic of Germany.</w:t>
            </w:r>
            <w:bookmarkEnd w:id="43"/>
          </w:p>
        </w:tc>
      </w:tr>
      <w:tr w:rsidR="009A7F1E" w:rsidRPr="002E4D67" w14:paraId="5D139403" w14:textId="77777777" w:rsidTr="00D64090">
        <w:tc>
          <w:tcPr>
            <w:tcW w:w="1985" w:type="dxa"/>
          </w:tcPr>
          <w:p w14:paraId="06323867" w14:textId="5EE0E408" w:rsidR="009A7F1E" w:rsidRPr="002E4D67" w:rsidRDefault="009A7F1E" w:rsidP="009A7F1E">
            <w:pPr>
              <w:pStyle w:val="berschrift1"/>
              <w:keepNext w:val="0"/>
              <w:keepLines w:val="0"/>
              <w:rPr>
                <w:lang w:val="en-US"/>
              </w:rPr>
            </w:pPr>
            <w:bookmarkStart w:id="44" w:name="_Toc212017820"/>
            <w:bookmarkStart w:id="45" w:name="_Toc213164131"/>
            <w:bookmarkStart w:id="46" w:name="_Toc213179115"/>
            <w:r w:rsidRPr="002E4D67">
              <w:rPr>
                <w:lang w:val="en-US"/>
              </w:rPr>
              <w:t>A.3 Registered address</w:t>
            </w:r>
            <w:bookmarkEnd w:id="44"/>
            <w:bookmarkEnd w:id="45"/>
            <w:bookmarkEnd w:id="46"/>
          </w:p>
        </w:tc>
        <w:tc>
          <w:tcPr>
            <w:tcW w:w="6371" w:type="dxa"/>
          </w:tcPr>
          <w:p w14:paraId="4FAA8DED" w14:textId="77777777" w:rsidR="009A7F1E" w:rsidRPr="002E4D67" w:rsidRDefault="009A7F1E" w:rsidP="009A7F1E">
            <w:pPr>
              <w:pStyle w:val="Textkrper"/>
              <w:rPr>
                <w:rFonts w:cstheme="minorHAnsi"/>
                <w:lang w:val="en-US"/>
              </w:rPr>
            </w:pPr>
            <w:bookmarkStart w:id="47" w:name="_cp_change_202"/>
            <w:r w:rsidRPr="002E4D67">
              <w:rPr>
                <w:rFonts w:cstheme="minorHAnsi"/>
                <w:lang w:val="en-US"/>
              </w:rPr>
              <w:t>Schöne Aussicht 24, 22085 Hamburg, Germany</w:t>
            </w:r>
            <w:bookmarkEnd w:id="47"/>
          </w:p>
        </w:tc>
      </w:tr>
      <w:tr w:rsidR="009A7F1E" w:rsidRPr="002E4D67" w14:paraId="528C493E" w14:textId="77777777" w:rsidTr="00D64090">
        <w:tc>
          <w:tcPr>
            <w:tcW w:w="1985" w:type="dxa"/>
          </w:tcPr>
          <w:p w14:paraId="60FB1D93" w14:textId="0434FEE7" w:rsidR="009A7F1E" w:rsidRPr="002E4D67" w:rsidRDefault="009A7F1E" w:rsidP="009A7F1E">
            <w:pPr>
              <w:pStyle w:val="berschrift1"/>
              <w:keepNext w:val="0"/>
              <w:keepLines w:val="0"/>
              <w:rPr>
                <w:lang w:val="en-US"/>
              </w:rPr>
            </w:pPr>
            <w:bookmarkStart w:id="48" w:name="_Toc212017822"/>
            <w:bookmarkStart w:id="49" w:name="_Toc213164132"/>
            <w:bookmarkStart w:id="50" w:name="_Toc213179116"/>
            <w:r w:rsidRPr="002E4D67">
              <w:rPr>
                <w:lang w:val="en-US"/>
              </w:rPr>
              <w:t>A.4 Head office</w:t>
            </w:r>
            <w:bookmarkEnd w:id="48"/>
            <w:bookmarkEnd w:id="49"/>
            <w:bookmarkEnd w:id="50"/>
          </w:p>
        </w:tc>
        <w:tc>
          <w:tcPr>
            <w:tcW w:w="6371" w:type="dxa"/>
          </w:tcPr>
          <w:p w14:paraId="1CAA7662" w14:textId="77777777" w:rsidR="009A7F1E" w:rsidRPr="002E4D67" w:rsidRDefault="009A7F1E" w:rsidP="009A7F1E">
            <w:pPr>
              <w:pStyle w:val="Textkrper"/>
              <w:rPr>
                <w:rFonts w:cstheme="minorHAnsi"/>
                <w:lang w:val="en-US"/>
              </w:rPr>
            </w:pPr>
            <w:bookmarkStart w:id="51" w:name="_cp_change_204"/>
            <w:r w:rsidRPr="002E4D67">
              <w:rPr>
                <w:rFonts w:cstheme="minorHAnsi"/>
                <w:lang w:val="en-US"/>
              </w:rPr>
              <w:t xml:space="preserve">The head office of WYND Capital GmbH is located at </w:t>
            </w:r>
            <w:r w:rsidRPr="002E4D67">
              <w:rPr>
                <w:rStyle w:val="Fett"/>
                <w:rFonts w:cstheme="minorHAnsi"/>
                <w:b w:val="0"/>
                <w:bCs w:val="0"/>
                <w:lang w:val="en-US"/>
              </w:rPr>
              <w:t>Schöne Aussicht 24, 22085 Hamburg, Germany</w:t>
            </w:r>
            <w:r w:rsidRPr="002E4D67">
              <w:rPr>
                <w:rFonts w:cstheme="minorHAnsi"/>
                <w:b/>
                <w:bCs/>
                <w:lang w:val="en-US"/>
              </w:rPr>
              <w:t>.</w:t>
            </w:r>
            <w:bookmarkEnd w:id="51"/>
          </w:p>
        </w:tc>
      </w:tr>
      <w:tr w:rsidR="009A7F1E" w:rsidRPr="002E4D67" w14:paraId="5205EEFD" w14:textId="77777777" w:rsidTr="00D64090">
        <w:tc>
          <w:tcPr>
            <w:tcW w:w="1985" w:type="dxa"/>
          </w:tcPr>
          <w:p w14:paraId="17E67FA9" w14:textId="0C129BC6" w:rsidR="009A7F1E" w:rsidRPr="002E4D67" w:rsidRDefault="009A7F1E" w:rsidP="009A7F1E">
            <w:pPr>
              <w:pStyle w:val="berschrift1"/>
              <w:keepNext w:val="0"/>
              <w:keepLines w:val="0"/>
              <w:rPr>
                <w:lang w:val="en-US"/>
              </w:rPr>
            </w:pPr>
            <w:bookmarkStart w:id="52" w:name="_Toc212017824"/>
            <w:bookmarkStart w:id="53" w:name="_Toc213164133"/>
            <w:bookmarkStart w:id="54" w:name="_Toc213179117"/>
            <w:r w:rsidRPr="002E4D67">
              <w:rPr>
                <w:lang w:val="en-US"/>
              </w:rPr>
              <w:t>A.5 Registration date</w:t>
            </w:r>
            <w:bookmarkEnd w:id="52"/>
            <w:bookmarkEnd w:id="53"/>
            <w:bookmarkEnd w:id="54"/>
          </w:p>
        </w:tc>
        <w:tc>
          <w:tcPr>
            <w:tcW w:w="6371" w:type="dxa"/>
          </w:tcPr>
          <w:p w14:paraId="00BC473F" w14:textId="6B3204A8" w:rsidR="009A7F1E" w:rsidRPr="002E4D67" w:rsidRDefault="009A7F1E" w:rsidP="009A7F1E">
            <w:pPr>
              <w:pStyle w:val="Textkrper"/>
              <w:rPr>
                <w:rFonts w:cstheme="minorHAnsi"/>
                <w:lang w:val="en-US"/>
              </w:rPr>
            </w:pPr>
            <w:bookmarkStart w:id="55" w:name="_cp_change_207"/>
            <w:r w:rsidRPr="002E4D67">
              <w:rPr>
                <w:rFonts w:cstheme="minorHAnsi"/>
                <w:lang w:val="en-US"/>
              </w:rPr>
              <w:t>2025-</w:t>
            </w:r>
            <w:r w:rsidR="001F5D05" w:rsidRPr="002E4D67">
              <w:rPr>
                <w:rFonts w:cstheme="minorHAnsi"/>
                <w:lang w:val="en-US"/>
              </w:rPr>
              <w:t>10</w:t>
            </w:r>
            <w:r w:rsidRPr="002E4D67">
              <w:rPr>
                <w:rFonts w:cstheme="minorHAnsi"/>
                <w:lang w:val="en-US"/>
              </w:rPr>
              <w:t>-</w:t>
            </w:r>
            <w:bookmarkEnd w:id="55"/>
            <w:r w:rsidR="001F5D05" w:rsidRPr="002E4D67">
              <w:rPr>
                <w:rFonts w:cstheme="minorHAnsi"/>
                <w:lang w:val="en-US"/>
              </w:rPr>
              <w:t>13</w:t>
            </w:r>
          </w:p>
        </w:tc>
      </w:tr>
      <w:tr w:rsidR="00F82D7F" w:rsidRPr="002E4D67" w14:paraId="138C390E" w14:textId="77777777" w:rsidTr="00D64090">
        <w:tc>
          <w:tcPr>
            <w:tcW w:w="1985" w:type="dxa"/>
          </w:tcPr>
          <w:p w14:paraId="5E381FE7" w14:textId="18E26142" w:rsidR="00F82D7F" w:rsidRPr="002E4D67" w:rsidRDefault="00F82D7F" w:rsidP="00F82D7F">
            <w:pPr>
              <w:pStyle w:val="berschrift1"/>
              <w:keepNext w:val="0"/>
              <w:keepLines w:val="0"/>
              <w:rPr>
                <w:lang w:val="en-US"/>
              </w:rPr>
            </w:pPr>
            <w:bookmarkStart w:id="56" w:name="_Toc212017826"/>
            <w:bookmarkStart w:id="57" w:name="_Toc213164134"/>
            <w:bookmarkStart w:id="58" w:name="_Toc213179118"/>
            <w:r w:rsidRPr="002E4D67">
              <w:rPr>
                <w:lang w:val="en-US"/>
              </w:rPr>
              <w:t>A.6 Legal entity identifier (LEI)</w:t>
            </w:r>
            <w:bookmarkEnd w:id="56"/>
            <w:bookmarkEnd w:id="57"/>
            <w:bookmarkEnd w:id="58"/>
          </w:p>
        </w:tc>
        <w:tc>
          <w:tcPr>
            <w:tcW w:w="6371" w:type="dxa"/>
          </w:tcPr>
          <w:p w14:paraId="2A2CCB9E" w14:textId="23669ACC" w:rsidR="00F82D7F" w:rsidRPr="002E4D67" w:rsidRDefault="00F82D7F" w:rsidP="00F82D7F">
            <w:pPr>
              <w:pStyle w:val="StandardWeb"/>
              <w:shd w:val="clear" w:color="auto" w:fill="FFFFFF"/>
              <w:rPr>
                <w:rFonts w:cstheme="minorHAnsi"/>
                <w:color w:val="2F2F2F"/>
                <w:szCs w:val="20"/>
                <w:lang w:val="en-US"/>
              </w:rPr>
            </w:pPr>
            <w:r w:rsidRPr="002E4D67">
              <w:rPr>
                <w:rFonts w:cstheme="minorHAnsi"/>
                <w:color w:val="2F2F2F"/>
                <w:szCs w:val="20"/>
                <w:lang w:val="en-US"/>
              </w:rPr>
              <w:t>LEI: 5299009TAO6KQPMSWG48</w:t>
            </w:r>
          </w:p>
        </w:tc>
      </w:tr>
      <w:tr w:rsidR="00F82D7F" w:rsidRPr="002E4D67" w14:paraId="15A8208F" w14:textId="77777777" w:rsidTr="00D64090">
        <w:tc>
          <w:tcPr>
            <w:tcW w:w="1985" w:type="dxa"/>
          </w:tcPr>
          <w:p w14:paraId="06ECEF04" w14:textId="2A1D8FA3" w:rsidR="00F82D7F" w:rsidRPr="002E4D67" w:rsidRDefault="00F82D7F" w:rsidP="00F82D7F">
            <w:pPr>
              <w:pStyle w:val="berschrift1"/>
              <w:keepNext w:val="0"/>
              <w:keepLines w:val="0"/>
              <w:rPr>
                <w:lang w:val="en-US"/>
              </w:rPr>
            </w:pPr>
            <w:bookmarkStart w:id="59" w:name="_Toc212017828"/>
            <w:bookmarkStart w:id="60" w:name="_Toc213164135"/>
            <w:bookmarkStart w:id="61" w:name="_Toc213179119"/>
            <w:r w:rsidRPr="002E4D67">
              <w:rPr>
                <w:lang w:val="en-US"/>
              </w:rPr>
              <w:t>A.7 Another identifier required pursuant to applicable national law</w:t>
            </w:r>
            <w:bookmarkEnd w:id="59"/>
            <w:bookmarkEnd w:id="60"/>
            <w:bookmarkEnd w:id="61"/>
          </w:p>
        </w:tc>
        <w:tc>
          <w:tcPr>
            <w:tcW w:w="6371" w:type="dxa"/>
          </w:tcPr>
          <w:p w14:paraId="4A9A1F1B" w14:textId="77777777" w:rsidR="00F82D7F" w:rsidRPr="002E4D67" w:rsidRDefault="00F82D7F" w:rsidP="00F82D7F">
            <w:pPr>
              <w:pStyle w:val="Textkrper"/>
              <w:rPr>
                <w:rFonts w:cstheme="minorHAnsi"/>
                <w:lang w:val="en-US"/>
              </w:rPr>
            </w:pPr>
            <w:r w:rsidRPr="002E4D67">
              <w:rPr>
                <w:rFonts w:cstheme="minorHAnsi"/>
                <w:lang w:val="en-US"/>
              </w:rPr>
              <w:t>Commercial Register Number (Handelsregisternummer): HRB 194779 Hamburg.</w:t>
            </w:r>
          </w:p>
        </w:tc>
      </w:tr>
      <w:tr w:rsidR="00F82D7F" w:rsidRPr="002E4D67" w14:paraId="22E04C3E" w14:textId="77777777" w:rsidTr="00D64090">
        <w:tc>
          <w:tcPr>
            <w:tcW w:w="1985" w:type="dxa"/>
          </w:tcPr>
          <w:p w14:paraId="09045906" w14:textId="0111F8C6" w:rsidR="00F82D7F" w:rsidRPr="002E4D67" w:rsidRDefault="00F82D7F" w:rsidP="00F82D7F">
            <w:pPr>
              <w:pStyle w:val="berschrift1"/>
              <w:keepNext w:val="0"/>
              <w:keepLines w:val="0"/>
              <w:rPr>
                <w:lang w:val="en-US"/>
              </w:rPr>
            </w:pPr>
            <w:bookmarkStart w:id="62" w:name="_Toc212017830"/>
            <w:bookmarkStart w:id="63" w:name="_Toc213164136"/>
            <w:bookmarkStart w:id="64" w:name="_Toc213179120"/>
            <w:r w:rsidRPr="002E4D67">
              <w:rPr>
                <w:lang w:val="en-US"/>
              </w:rPr>
              <w:t>A.8 Contact telephone number</w:t>
            </w:r>
            <w:bookmarkEnd w:id="62"/>
            <w:bookmarkEnd w:id="63"/>
            <w:bookmarkEnd w:id="64"/>
          </w:p>
        </w:tc>
        <w:tc>
          <w:tcPr>
            <w:tcW w:w="6371" w:type="dxa"/>
          </w:tcPr>
          <w:p w14:paraId="06D7E106" w14:textId="77777777" w:rsidR="00F82D7F" w:rsidRPr="002E4D67" w:rsidRDefault="00F82D7F" w:rsidP="00F82D7F">
            <w:pPr>
              <w:pStyle w:val="Textkrper"/>
              <w:rPr>
                <w:rFonts w:cstheme="minorHAnsi"/>
                <w:lang w:val="en-US"/>
              </w:rPr>
            </w:pPr>
            <w:bookmarkStart w:id="65" w:name="_cp_change_209"/>
            <w:r w:rsidRPr="002E4D67">
              <w:rPr>
                <w:rFonts w:cstheme="minorHAnsi"/>
                <w:lang w:val="en-US"/>
              </w:rPr>
              <w:t>+49 174 1984005</w:t>
            </w:r>
            <w:bookmarkEnd w:id="65"/>
          </w:p>
        </w:tc>
      </w:tr>
      <w:tr w:rsidR="00F82D7F" w:rsidRPr="002E4D67" w14:paraId="2C03B591" w14:textId="77777777" w:rsidTr="00D64090">
        <w:tc>
          <w:tcPr>
            <w:tcW w:w="1985" w:type="dxa"/>
          </w:tcPr>
          <w:p w14:paraId="670F1FFA" w14:textId="2578B4B1" w:rsidR="00F82D7F" w:rsidRPr="002E4D67" w:rsidRDefault="00F82D7F" w:rsidP="00F82D7F">
            <w:pPr>
              <w:pStyle w:val="berschrift1"/>
              <w:keepNext w:val="0"/>
              <w:keepLines w:val="0"/>
              <w:rPr>
                <w:lang w:val="en-US"/>
              </w:rPr>
            </w:pPr>
            <w:bookmarkStart w:id="66" w:name="_Toc212017832"/>
            <w:bookmarkStart w:id="67" w:name="_Toc213164137"/>
            <w:bookmarkStart w:id="68" w:name="_Toc213179121"/>
            <w:r w:rsidRPr="002E4D67">
              <w:rPr>
                <w:lang w:val="en-US"/>
              </w:rPr>
              <w:t>A.9 E-Mail address</w:t>
            </w:r>
            <w:bookmarkEnd w:id="66"/>
            <w:bookmarkEnd w:id="67"/>
            <w:bookmarkEnd w:id="68"/>
          </w:p>
        </w:tc>
        <w:tc>
          <w:tcPr>
            <w:tcW w:w="6371" w:type="dxa"/>
          </w:tcPr>
          <w:p w14:paraId="4A4AA0B2" w14:textId="77777777" w:rsidR="00F82D7F" w:rsidRPr="002E4D67" w:rsidRDefault="00F82D7F" w:rsidP="00F82D7F">
            <w:pPr>
              <w:pStyle w:val="Textkrper"/>
              <w:rPr>
                <w:rFonts w:cstheme="minorHAnsi"/>
                <w:lang w:val="en-US"/>
              </w:rPr>
            </w:pPr>
            <w:bookmarkStart w:id="69" w:name="_cp_change_210"/>
            <w:r w:rsidRPr="002E4D67">
              <w:rPr>
                <w:rFonts w:cstheme="minorHAnsi"/>
                <w:lang w:val="en-US"/>
              </w:rPr>
              <w:t>info@wynd.group</w:t>
            </w:r>
            <w:bookmarkEnd w:id="69"/>
          </w:p>
        </w:tc>
      </w:tr>
      <w:tr w:rsidR="00F82D7F" w:rsidRPr="002E4D67" w14:paraId="64363E41" w14:textId="77777777" w:rsidTr="00D64090">
        <w:tc>
          <w:tcPr>
            <w:tcW w:w="1985" w:type="dxa"/>
          </w:tcPr>
          <w:p w14:paraId="6B27A92E" w14:textId="2BA2C336" w:rsidR="00F82D7F" w:rsidRPr="002E4D67" w:rsidRDefault="00F82D7F" w:rsidP="00F82D7F">
            <w:pPr>
              <w:pStyle w:val="berschrift1"/>
              <w:keepNext w:val="0"/>
              <w:keepLines w:val="0"/>
              <w:rPr>
                <w:lang w:val="en-US"/>
              </w:rPr>
            </w:pPr>
            <w:bookmarkStart w:id="70" w:name="_Toc212017834"/>
            <w:bookmarkStart w:id="71" w:name="_Toc213164138"/>
            <w:bookmarkStart w:id="72" w:name="_Toc213179122"/>
            <w:r w:rsidRPr="002E4D67">
              <w:rPr>
                <w:lang w:val="en-US"/>
              </w:rPr>
              <w:t>A.10 Response time (Days)</w:t>
            </w:r>
            <w:bookmarkEnd w:id="70"/>
            <w:bookmarkEnd w:id="71"/>
            <w:bookmarkEnd w:id="72"/>
          </w:p>
        </w:tc>
        <w:tc>
          <w:tcPr>
            <w:tcW w:w="6371" w:type="dxa"/>
          </w:tcPr>
          <w:p w14:paraId="6B923CE0" w14:textId="77777777" w:rsidR="00F82D7F" w:rsidRPr="002E4D67" w:rsidRDefault="00F82D7F" w:rsidP="00F82D7F">
            <w:pPr>
              <w:pStyle w:val="Textkrper"/>
              <w:rPr>
                <w:rFonts w:cstheme="minorHAnsi"/>
                <w:lang w:val="en-US"/>
              </w:rPr>
            </w:pPr>
            <w:bookmarkStart w:id="73" w:name="_cp_change_211"/>
            <w:r w:rsidRPr="002E4D67">
              <w:rPr>
                <w:rFonts w:cstheme="minorHAnsi"/>
                <w:lang w:val="en-US"/>
              </w:rPr>
              <w:t>2 days</w:t>
            </w:r>
            <w:bookmarkEnd w:id="73"/>
          </w:p>
        </w:tc>
      </w:tr>
      <w:tr w:rsidR="00F82D7F" w:rsidRPr="002E4D67" w14:paraId="5D89E87D" w14:textId="77777777" w:rsidTr="00D64090">
        <w:tc>
          <w:tcPr>
            <w:tcW w:w="1985" w:type="dxa"/>
          </w:tcPr>
          <w:p w14:paraId="4E1043A6" w14:textId="3421B485" w:rsidR="00F82D7F" w:rsidRPr="002E4D67" w:rsidRDefault="00F82D7F" w:rsidP="00F82D7F">
            <w:pPr>
              <w:pStyle w:val="berschrift1"/>
              <w:keepNext w:val="0"/>
              <w:keepLines w:val="0"/>
              <w:rPr>
                <w:lang w:val="en-US"/>
              </w:rPr>
            </w:pPr>
            <w:bookmarkStart w:id="74" w:name="_Toc212017836"/>
            <w:bookmarkStart w:id="75" w:name="_Toc213164139"/>
            <w:bookmarkStart w:id="76" w:name="_Toc213179123"/>
            <w:r w:rsidRPr="002E4D67">
              <w:rPr>
                <w:lang w:val="en-US"/>
              </w:rPr>
              <w:t>A.11 Parent company</w:t>
            </w:r>
            <w:bookmarkEnd w:id="74"/>
            <w:bookmarkEnd w:id="75"/>
            <w:bookmarkEnd w:id="76"/>
          </w:p>
        </w:tc>
        <w:tc>
          <w:tcPr>
            <w:tcW w:w="6371" w:type="dxa"/>
          </w:tcPr>
          <w:p w14:paraId="610024A0" w14:textId="77777777" w:rsidR="00F82D7F" w:rsidRPr="002E4D67" w:rsidRDefault="00F82D7F" w:rsidP="00F82D7F">
            <w:pPr>
              <w:pStyle w:val="Textkrper"/>
              <w:rPr>
                <w:rFonts w:cstheme="minorHAnsi"/>
                <w:lang w:val="en-US"/>
              </w:rPr>
            </w:pPr>
            <w:bookmarkStart w:id="77" w:name="_cp_change_212"/>
            <w:r w:rsidRPr="002E4D67">
              <w:rPr>
                <w:rFonts w:cstheme="minorHAnsi"/>
                <w:lang w:val="en-US"/>
              </w:rPr>
              <w:t>MD Capital GmbH</w:t>
            </w:r>
            <w:bookmarkEnd w:id="77"/>
          </w:p>
        </w:tc>
      </w:tr>
      <w:tr w:rsidR="00F82D7F" w:rsidRPr="002E4D67" w14:paraId="4B04F402" w14:textId="77777777" w:rsidTr="00D64090">
        <w:tc>
          <w:tcPr>
            <w:tcW w:w="1985" w:type="dxa"/>
          </w:tcPr>
          <w:p w14:paraId="7F92EE0A" w14:textId="26E64B40" w:rsidR="00F82D7F" w:rsidRPr="002E4D67" w:rsidRDefault="00F82D7F" w:rsidP="00F82D7F">
            <w:pPr>
              <w:pStyle w:val="berschrift1"/>
              <w:keepNext w:val="0"/>
              <w:keepLines w:val="0"/>
              <w:rPr>
                <w:lang w:val="en-US"/>
              </w:rPr>
            </w:pPr>
            <w:bookmarkStart w:id="78" w:name="_Toc212017838"/>
            <w:bookmarkStart w:id="79" w:name="_Toc213164140"/>
            <w:bookmarkStart w:id="80" w:name="_Toc213179124"/>
            <w:r w:rsidRPr="002E4D67">
              <w:rPr>
                <w:lang w:val="en-US"/>
              </w:rPr>
              <w:t>A.12 Members of the management body</w:t>
            </w:r>
            <w:bookmarkEnd w:id="78"/>
            <w:bookmarkEnd w:id="79"/>
            <w:bookmarkEnd w:id="80"/>
          </w:p>
        </w:tc>
        <w:tc>
          <w:tcPr>
            <w:tcW w:w="6371" w:type="dxa"/>
          </w:tcPr>
          <w:p w14:paraId="42C2ECD8" w14:textId="77777777" w:rsidR="00F82D7F" w:rsidRPr="002E4D67" w:rsidRDefault="00F82D7F" w:rsidP="00F82D7F">
            <w:pPr>
              <w:pStyle w:val="Textkrper"/>
              <w:rPr>
                <w:rFonts w:cstheme="minorHAnsi"/>
                <w:lang w:val="en-US"/>
              </w:rPr>
            </w:pPr>
            <w:bookmarkStart w:id="81" w:name="_cp_change_213"/>
            <w:r w:rsidRPr="002E4D67">
              <w:rPr>
                <w:rFonts w:cstheme="minorHAnsi"/>
                <w:lang w:val="en-US"/>
              </w:rPr>
              <w:t>Dennis  Monner</w:t>
            </w:r>
            <w:bookmarkEnd w:id="81"/>
          </w:p>
        </w:tc>
      </w:tr>
      <w:tr w:rsidR="00F82D7F" w:rsidRPr="002E4D67" w14:paraId="7A871357" w14:textId="77777777" w:rsidTr="00D64090">
        <w:tc>
          <w:tcPr>
            <w:tcW w:w="1985" w:type="dxa"/>
          </w:tcPr>
          <w:p w14:paraId="7DEE0A56" w14:textId="7AE240F2" w:rsidR="00F82D7F" w:rsidRPr="002E4D67" w:rsidRDefault="00F82D7F" w:rsidP="00F82D7F">
            <w:pPr>
              <w:pStyle w:val="berschrift1"/>
              <w:keepNext w:val="0"/>
              <w:keepLines w:val="0"/>
              <w:rPr>
                <w:lang w:val="en-US"/>
              </w:rPr>
            </w:pPr>
            <w:bookmarkStart w:id="82" w:name="_Toc212017840"/>
            <w:bookmarkStart w:id="83" w:name="_Toc213164141"/>
            <w:bookmarkStart w:id="84" w:name="_Toc213179125"/>
            <w:r w:rsidRPr="002E4D67">
              <w:rPr>
                <w:lang w:val="en-US"/>
              </w:rPr>
              <w:t>A.13 Business activity</w:t>
            </w:r>
            <w:bookmarkEnd w:id="82"/>
            <w:bookmarkEnd w:id="83"/>
            <w:bookmarkEnd w:id="84"/>
          </w:p>
        </w:tc>
        <w:tc>
          <w:tcPr>
            <w:tcW w:w="6371" w:type="dxa"/>
          </w:tcPr>
          <w:p w14:paraId="3C29E499" w14:textId="77777777" w:rsidR="00F82D7F" w:rsidRDefault="00F82D7F" w:rsidP="00F82D7F">
            <w:pPr>
              <w:pStyle w:val="Textkrper"/>
              <w:rPr>
                <w:rFonts w:cstheme="minorHAnsi"/>
                <w:lang w:val="en-US"/>
              </w:rPr>
            </w:pPr>
            <w:r w:rsidRPr="002E4D67">
              <w:rPr>
                <w:rFonts w:cstheme="minorHAnsi"/>
                <w:lang w:val="en-US"/>
              </w:rPr>
              <w:t xml:space="preserve">The company's object is to design, organize, and execute exclusive trips, yachting experiences, events, and lifestyle services in the premium and luxury segment, including the construction, operation, and marketing of yachts. </w:t>
            </w:r>
          </w:p>
          <w:p w14:paraId="6F751A83" w14:textId="35801F66" w:rsidR="00420EE5" w:rsidRPr="002E4D67" w:rsidRDefault="00420EE5" w:rsidP="00F82D7F">
            <w:pPr>
              <w:pStyle w:val="Textkrper"/>
              <w:rPr>
                <w:rFonts w:cstheme="minorHAnsi"/>
                <w:lang w:val="en-US"/>
              </w:rPr>
            </w:pPr>
            <w:r>
              <w:lastRenderedPageBreak/>
              <w:t>For the purposes of this MiCAR white paper, WYND Capital GmbH acts exclusively as issuer of the WYND Utility Token and operator of the digital WYND service ecosystem. Yacht construction, purchase, refinancing and primary asset financing activities are carried out separately by MD Capital GmbH and are not financed with token proceeds.</w:t>
            </w:r>
          </w:p>
        </w:tc>
      </w:tr>
      <w:tr w:rsidR="00F82D7F" w:rsidRPr="002E4D67" w14:paraId="2DB32609" w14:textId="77777777" w:rsidTr="00D64090">
        <w:tc>
          <w:tcPr>
            <w:tcW w:w="1985" w:type="dxa"/>
          </w:tcPr>
          <w:p w14:paraId="69515ADC" w14:textId="452375C3" w:rsidR="00F82D7F" w:rsidRPr="002E4D67" w:rsidRDefault="00F82D7F" w:rsidP="00F82D7F">
            <w:pPr>
              <w:pStyle w:val="berschrift1"/>
              <w:keepNext w:val="0"/>
              <w:keepLines w:val="0"/>
              <w:rPr>
                <w:lang w:val="en-US"/>
              </w:rPr>
            </w:pPr>
            <w:bookmarkStart w:id="85" w:name="_Toc212017842"/>
            <w:bookmarkStart w:id="86" w:name="_Toc213164142"/>
            <w:bookmarkStart w:id="87" w:name="_Toc213179126"/>
            <w:r w:rsidRPr="002E4D67">
              <w:rPr>
                <w:lang w:val="en-US"/>
              </w:rPr>
              <w:lastRenderedPageBreak/>
              <w:t>A. 14 Parent Company Business Activity</w:t>
            </w:r>
            <w:bookmarkEnd w:id="85"/>
            <w:bookmarkEnd w:id="86"/>
            <w:bookmarkEnd w:id="87"/>
          </w:p>
        </w:tc>
        <w:tc>
          <w:tcPr>
            <w:tcW w:w="6371" w:type="dxa"/>
          </w:tcPr>
          <w:p w14:paraId="58F5F999" w14:textId="77777777" w:rsidR="00F82D7F" w:rsidRPr="002E4D67" w:rsidRDefault="00F82D7F" w:rsidP="00F82D7F">
            <w:pPr>
              <w:pStyle w:val="Textkrper"/>
              <w:rPr>
                <w:rFonts w:cstheme="minorHAnsi"/>
                <w:lang w:val="en-US"/>
              </w:rPr>
            </w:pPr>
            <w:r w:rsidRPr="002E4D67">
              <w:rPr>
                <w:rFonts w:cstheme="minorHAnsi"/>
                <w:lang w:val="en-US"/>
              </w:rPr>
              <w:t xml:space="preserve">The object of the company is </w:t>
            </w:r>
          </w:p>
          <w:p w14:paraId="6F753740" w14:textId="77777777" w:rsidR="00F82D7F" w:rsidRPr="002E4D67" w:rsidRDefault="00F82D7F" w:rsidP="00F82D7F">
            <w:pPr>
              <w:pStyle w:val="Textkrper"/>
              <w:rPr>
                <w:rFonts w:cstheme="minorHAnsi"/>
                <w:lang w:val="en-US"/>
              </w:rPr>
            </w:pPr>
            <w:r w:rsidRPr="002E4D67">
              <w:rPr>
                <w:rFonts w:cstheme="minorHAnsi"/>
                <w:lang w:val="en-US"/>
              </w:rPr>
              <w:t xml:space="preserve">(i) the management of its own assets (in particular in the form of investments in other companies) in its own name and for its own account, </w:t>
            </w:r>
          </w:p>
          <w:p w14:paraId="7ED575D4" w14:textId="77777777" w:rsidR="00F82D7F" w:rsidRPr="002E4D67" w:rsidRDefault="00F82D7F" w:rsidP="00F82D7F">
            <w:pPr>
              <w:pStyle w:val="Textkrper"/>
              <w:rPr>
                <w:rFonts w:cstheme="minorHAnsi"/>
                <w:lang w:val="en-US"/>
              </w:rPr>
            </w:pPr>
            <w:r w:rsidRPr="002E4D67">
              <w:rPr>
                <w:rFonts w:cstheme="minorHAnsi"/>
                <w:lang w:val="en-US"/>
              </w:rPr>
              <w:t xml:space="preserve">(ii) the construction, sale, and chartering of yachts and related services, </w:t>
            </w:r>
          </w:p>
          <w:p w14:paraId="5E162F4A" w14:textId="77777777" w:rsidR="00F82D7F" w:rsidRPr="002E4D67" w:rsidRDefault="00F82D7F" w:rsidP="00F82D7F">
            <w:pPr>
              <w:pStyle w:val="Textkrper"/>
              <w:rPr>
                <w:rFonts w:cstheme="minorHAnsi"/>
                <w:lang w:val="en-US"/>
              </w:rPr>
            </w:pPr>
            <w:r w:rsidRPr="002E4D67">
              <w:rPr>
                <w:rFonts w:cstheme="minorHAnsi"/>
                <w:lang w:val="en-US"/>
              </w:rPr>
              <w:t xml:space="preserve">(iii) the organization and distribution of sports and luxury travel, and </w:t>
            </w:r>
          </w:p>
          <w:p w14:paraId="2387D996" w14:textId="7933045E" w:rsidR="00F82D7F" w:rsidRPr="002E4D67" w:rsidRDefault="00F82D7F" w:rsidP="00F82D7F">
            <w:pPr>
              <w:pStyle w:val="Textkrper"/>
              <w:rPr>
                <w:rFonts w:cstheme="minorHAnsi"/>
                <w:lang w:val="en-US"/>
              </w:rPr>
            </w:pPr>
            <w:r w:rsidRPr="002E4D67">
              <w:rPr>
                <w:rFonts w:cstheme="minorHAnsi"/>
                <w:lang w:val="en-US"/>
              </w:rPr>
              <w:t>(iv) the provision of services in the field of management consulting.</w:t>
            </w:r>
          </w:p>
        </w:tc>
      </w:tr>
      <w:tr w:rsidR="00F82D7F" w:rsidRPr="002E4D67" w14:paraId="2EB53BDC" w14:textId="77777777" w:rsidTr="00D64090">
        <w:tc>
          <w:tcPr>
            <w:tcW w:w="1985" w:type="dxa"/>
          </w:tcPr>
          <w:p w14:paraId="08548E6D" w14:textId="76E02F02" w:rsidR="00F82D7F" w:rsidRPr="002E4D67" w:rsidRDefault="00F82D7F" w:rsidP="00F82D7F">
            <w:pPr>
              <w:pStyle w:val="berschrift1"/>
              <w:keepNext w:val="0"/>
              <w:keepLines w:val="0"/>
              <w:rPr>
                <w:lang w:val="en-US"/>
              </w:rPr>
            </w:pPr>
            <w:bookmarkStart w:id="88" w:name="_Toc212017844"/>
            <w:bookmarkStart w:id="89" w:name="_Toc213164143"/>
            <w:bookmarkStart w:id="90" w:name="_Toc213179127"/>
            <w:r w:rsidRPr="002E4D67">
              <w:rPr>
                <w:lang w:val="en-US"/>
              </w:rPr>
              <w:t>A.15 Newly Established</w:t>
            </w:r>
            <w:bookmarkEnd w:id="88"/>
            <w:bookmarkEnd w:id="89"/>
            <w:bookmarkEnd w:id="90"/>
          </w:p>
        </w:tc>
        <w:tc>
          <w:tcPr>
            <w:tcW w:w="6371" w:type="dxa"/>
          </w:tcPr>
          <w:p w14:paraId="2EE8A957" w14:textId="46CA60CB" w:rsidR="00F82D7F" w:rsidRPr="002E4D67" w:rsidRDefault="00F82D7F" w:rsidP="00F82D7F">
            <w:pPr>
              <w:pStyle w:val="Textkrper"/>
              <w:rPr>
                <w:rFonts w:cstheme="minorHAnsi"/>
                <w:lang w:val="en-US"/>
              </w:rPr>
            </w:pPr>
            <w:r w:rsidRPr="002E4D67">
              <w:rPr>
                <w:lang w:val="en-US"/>
              </w:rPr>
              <w:t xml:space="preserve">True. </w:t>
            </w:r>
            <w:r w:rsidRPr="002E4D67">
              <w:rPr>
                <w:rFonts w:cstheme="minorHAnsi"/>
                <w:lang w:val="en-US"/>
              </w:rPr>
              <w:br/>
            </w:r>
          </w:p>
        </w:tc>
      </w:tr>
      <w:tr w:rsidR="00F82D7F" w:rsidRPr="002E4D67" w14:paraId="502FDBA6" w14:textId="77777777" w:rsidTr="00D64090">
        <w:tc>
          <w:tcPr>
            <w:tcW w:w="1985" w:type="dxa"/>
          </w:tcPr>
          <w:p w14:paraId="417F1AC0" w14:textId="62670767" w:rsidR="00F82D7F" w:rsidRPr="002E4D67" w:rsidRDefault="00F82D7F" w:rsidP="00F82D7F">
            <w:pPr>
              <w:pStyle w:val="berschrift1"/>
              <w:keepNext w:val="0"/>
              <w:keepLines w:val="0"/>
              <w:rPr>
                <w:lang w:val="en-US"/>
              </w:rPr>
            </w:pPr>
            <w:bookmarkStart w:id="91" w:name="_Toc212017846"/>
            <w:bookmarkStart w:id="92" w:name="_Toc213164144"/>
            <w:bookmarkStart w:id="93" w:name="_Toc213179128"/>
            <w:r w:rsidRPr="002E4D67">
              <w:rPr>
                <w:lang w:val="en-US"/>
              </w:rPr>
              <w:t>A. 16 Financial Condition for the Past Three Years</w:t>
            </w:r>
            <w:bookmarkEnd w:id="91"/>
            <w:bookmarkEnd w:id="92"/>
            <w:bookmarkEnd w:id="93"/>
          </w:p>
        </w:tc>
        <w:tc>
          <w:tcPr>
            <w:tcW w:w="6371" w:type="dxa"/>
          </w:tcPr>
          <w:p w14:paraId="443213D6" w14:textId="290FA050" w:rsidR="00F82D7F" w:rsidRPr="002E4D67" w:rsidRDefault="00F82D7F" w:rsidP="00F82D7F">
            <w:pPr>
              <w:pStyle w:val="Textkrper"/>
              <w:rPr>
                <w:rFonts w:cstheme="minorHAnsi"/>
                <w:lang w:val="en-US"/>
              </w:rPr>
            </w:pPr>
            <w:bookmarkStart w:id="94" w:name="_cp_change_214"/>
            <w:r w:rsidRPr="002E4D67">
              <w:rPr>
                <w:rFonts w:cstheme="minorHAnsi"/>
                <w:lang w:val="en-US"/>
              </w:rPr>
              <w:t xml:space="preserve">Not applicable. </w:t>
            </w:r>
            <w:bookmarkEnd w:id="94"/>
          </w:p>
        </w:tc>
      </w:tr>
      <w:tr w:rsidR="00BC1B8C" w:rsidRPr="002E4D67" w14:paraId="2BCF7B7D" w14:textId="77777777" w:rsidTr="00D64090">
        <w:tc>
          <w:tcPr>
            <w:tcW w:w="1985" w:type="dxa"/>
          </w:tcPr>
          <w:p w14:paraId="3F4BF1A2" w14:textId="387F477B" w:rsidR="00BC1B8C" w:rsidRPr="002E4D67" w:rsidRDefault="00BC1B8C" w:rsidP="00BC1B8C">
            <w:pPr>
              <w:pStyle w:val="berschrift1"/>
              <w:keepNext w:val="0"/>
              <w:keepLines w:val="0"/>
              <w:rPr>
                <w:lang w:val="en-US"/>
              </w:rPr>
            </w:pPr>
            <w:bookmarkStart w:id="95" w:name="_Toc212017848"/>
            <w:bookmarkStart w:id="96" w:name="_Toc213164145"/>
            <w:bookmarkStart w:id="97" w:name="_Toc213179129"/>
            <w:r w:rsidRPr="002E4D67">
              <w:rPr>
                <w:lang w:val="en-US"/>
              </w:rPr>
              <w:t>A.17 Financial Condition Since Registration</w:t>
            </w:r>
            <w:bookmarkEnd w:id="95"/>
            <w:bookmarkEnd w:id="96"/>
            <w:bookmarkEnd w:id="97"/>
          </w:p>
        </w:tc>
        <w:tc>
          <w:tcPr>
            <w:tcW w:w="6371" w:type="dxa"/>
          </w:tcPr>
          <w:p w14:paraId="24D6C461" w14:textId="77777777" w:rsidR="00BC1B8C" w:rsidRPr="002E4D67" w:rsidRDefault="00BC1B8C" w:rsidP="00BC1B8C">
            <w:pPr>
              <w:pStyle w:val="StandardWeb"/>
              <w:rPr>
                <w:rFonts w:cstheme="minorHAnsi"/>
                <w:szCs w:val="20"/>
                <w:lang w:val="en-US"/>
              </w:rPr>
            </w:pPr>
            <w:r w:rsidRPr="002E4D67">
              <w:rPr>
                <w:rFonts w:cstheme="minorHAnsi"/>
                <w:szCs w:val="20"/>
                <w:lang w:val="en-US"/>
              </w:rPr>
              <w:t>WYND Capital GmbH was incorporated in September 2025 as a limited liability company (Gesellschaft mit beschränkter Haftung) under German law.</w:t>
            </w:r>
            <w:r w:rsidRPr="002E4D67">
              <w:rPr>
                <w:rFonts w:cstheme="minorHAnsi"/>
                <w:szCs w:val="20"/>
                <w:lang w:val="en-US"/>
              </w:rPr>
              <w:br/>
              <w:t xml:space="preserve">The company’s </w:t>
            </w:r>
            <w:r w:rsidRPr="002E4D67">
              <w:rPr>
                <w:rStyle w:val="Fett"/>
                <w:rFonts w:cstheme="minorHAnsi"/>
                <w:szCs w:val="20"/>
                <w:lang w:val="en-US"/>
              </w:rPr>
              <w:t>fully paid-in share capital amounts to EUR 25,000</w:t>
            </w:r>
            <w:r w:rsidRPr="002E4D67">
              <w:rPr>
                <w:rFonts w:cstheme="minorHAnsi"/>
                <w:szCs w:val="20"/>
                <w:lang w:val="en-US"/>
              </w:rPr>
              <w:t>, which currently represents its total equity.</w:t>
            </w:r>
          </w:p>
          <w:p w14:paraId="5E387D86" w14:textId="77777777" w:rsidR="00BC1B8C" w:rsidRPr="002E4D67" w:rsidRDefault="00BC1B8C" w:rsidP="00BC1B8C">
            <w:pPr>
              <w:pStyle w:val="StandardWeb"/>
              <w:rPr>
                <w:rFonts w:cstheme="minorHAnsi"/>
                <w:szCs w:val="20"/>
                <w:lang w:val="en-US"/>
              </w:rPr>
            </w:pPr>
            <w:r w:rsidRPr="002E4D67">
              <w:rPr>
                <w:rFonts w:cstheme="minorHAnsi"/>
                <w:szCs w:val="20"/>
                <w:lang w:val="en-US"/>
              </w:rPr>
              <w:t xml:space="preserve">At this early stage, WYND Capital GmbH has </w:t>
            </w:r>
            <w:r w:rsidRPr="002E4D67">
              <w:rPr>
                <w:rStyle w:val="Fett"/>
                <w:rFonts w:cstheme="minorHAnsi"/>
                <w:szCs w:val="20"/>
                <w:lang w:val="en-US"/>
              </w:rPr>
              <w:t>not yet commenced any operational business activities</w:t>
            </w:r>
            <w:r w:rsidRPr="002E4D67">
              <w:rPr>
                <w:rFonts w:cstheme="minorHAnsi"/>
                <w:szCs w:val="20"/>
                <w:lang w:val="en-US"/>
              </w:rPr>
              <w:t xml:space="preserve"> and therefore has </w:t>
            </w:r>
            <w:r w:rsidRPr="002E4D67">
              <w:rPr>
                <w:rStyle w:val="Fett"/>
                <w:rFonts w:cstheme="minorHAnsi"/>
                <w:szCs w:val="20"/>
                <w:lang w:val="en-US"/>
              </w:rPr>
              <w:t>no revenues, no material assets, and no financial liabilities</w:t>
            </w:r>
            <w:r w:rsidRPr="002E4D67">
              <w:rPr>
                <w:rFonts w:cstheme="minorHAnsi"/>
                <w:szCs w:val="20"/>
                <w:lang w:val="en-US"/>
              </w:rPr>
              <w:t xml:space="preserve"> beyond the paid-in capital.</w:t>
            </w:r>
            <w:r w:rsidRPr="002E4D67">
              <w:rPr>
                <w:rFonts w:cstheme="minorHAnsi"/>
                <w:szCs w:val="20"/>
                <w:lang w:val="en-US"/>
              </w:rPr>
              <w:br/>
              <w:t xml:space="preserve">Accordingly, the </w:t>
            </w:r>
            <w:r w:rsidRPr="002E4D67">
              <w:rPr>
                <w:rStyle w:val="Fett"/>
                <w:rFonts w:cstheme="minorHAnsi"/>
                <w:szCs w:val="20"/>
                <w:lang w:val="en-US"/>
              </w:rPr>
              <w:t>balance-sheet total amounts to approximately EUR 25,000</w:t>
            </w:r>
            <w:r w:rsidRPr="002E4D67">
              <w:rPr>
                <w:rFonts w:cstheme="minorHAnsi"/>
                <w:szCs w:val="20"/>
                <w:lang w:val="en-US"/>
              </w:rPr>
              <w:t>, consisting entirely of cash held in the company’s bank account.</w:t>
            </w:r>
          </w:p>
          <w:p w14:paraId="3834780A" w14:textId="77777777" w:rsidR="00BC1B8C" w:rsidRPr="002E4D67" w:rsidRDefault="00BC1B8C" w:rsidP="00BC1B8C">
            <w:pPr>
              <w:pStyle w:val="StandardWeb"/>
              <w:rPr>
                <w:rFonts w:cstheme="minorHAnsi"/>
                <w:szCs w:val="20"/>
                <w:lang w:val="en-US"/>
              </w:rPr>
            </w:pPr>
            <w:r w:rsidRPr="002E4D67">
              <w:rPr>
                <w:rFonts w:cstheme="minorHAnsi"/>
                <w:szCs w:val="20"/>
                <w:lang w:val="en-US"/>
              </w:rPr>
              <w:t xml:space="preserve">To date, </w:t>
            </w:r>
            <w:r w:rsidRPr="002E4D67">
              <w:rPr>
                <w:rStyle w:val="Fett"/>
                <w:rFonts w:cstheme="minorHAnsi"/>
                <w:szCs w:val="20"/>
                <w:lang w:val="en-US"/>
              </w:rPr>
              <w:t>no significant expenses have been incurred</w:t>
            </w:r>
            <w:r w:rsidRPr="002E4D67">
              <w:rPr>
                <w:rFonts w:cstheme="minorHAnsi"/>
                <w:szCs w:val="20"/>
                <w:lang w:val="en-US"/>
              </w:rPr>
              <w:t xml:space="preserve">, and </w:t>
            </w:r>
            <w:r w:rsidRPr="002E4D67">
              <w:rPr>
                <w:rStyle w:val="Fett"/>
                <w:rFonts w:cstheme="minorHAnsi"/>
                <w:szCs w:val="20"/>
                <w:lang w:val="en-US"/>
              </w:rPr>
              <w:t>no obligations or third-party debts exist</w:t>
            </w:r>
            <w:r w:rsidRPr="002E4D67">
              <w:rPr>
                <w:rFonts w:cstheme="minorHAnsi"/>
                <w:szCs w:val="20"/>
                <w:lang w:val="en-US"/>
              </w:rPr>
              <w:t xml:space="preserve">. The company’s financial position is therefore </w:t>
            </w:r>
            <w:r w:rsidRPr="002E4D67">
              <w:rPr>
                <w:rStyle w:val="Fett"/>
                <w:rFonts w:cstheme="minorHAnsi"/>
                <w:szCs w:val="20"/>
                <w:lang w:val="en-US"/>
              </w:rPr>
              <w:t>fully covered by equity and free of liabilities</w:t>
            </w:r>
            <w:r w:rsidRPr="002E4D67">
              <w:rPr>
                <w:rFonts w:cstheme="minorHAnsi"/>
                <w:szCs w:val="20"/>
                <w:lang w:val="en-US"/>
              </w:rPr>
              <w:t>.</w:t>
            </w:r>
          </w:p>
          <w:p w14:paraId="66E2F4A0" w14:textId="5142027A" w:rsidR="00BC1B8C" w:rsidRPr="002E4D67" w:rsidRDefault="00BC1B8C" w:rsidP="00BC1B8C">
            <w:pPr>
              <w:pStyle w:val="StandardWeb"/>
              <w:rPr>
                <w:rFonts w:cstheme="minorHAnsi"/>
                <w:szCs w:val="20"/>
                <w:lang w:val="en-US"/>
              </w:rPr>
            </w:pPr>
            <w:r w:rsidRPr="002E4D67">
              <w:rPr>
                <w:rFonts w:cstheme="minorHAnsi"/>
                <w:szCs w:val="20"/>
                <w:lang w:val="en-US"/>
              </w:rPr>
              <w:lastRenderedPageBreak/>
              <w:t xml:space="preserve">WYND Capital GmbH currently serves as the </w:t>
            </w:r>
            <w:r w:rsidRPr="002E4D67">
              <w:rPr>
                <w:rStyle w:val="Fett"/>
                <w:rFonts w:cstheme="minorHAnsi"/>
                <w:szCs w:val="20"/>
                <w:lang w:val="en-US"/>
              </w:rPr>
              <w:t>issuer and administrative entity for the planned WYND Utility Token project</w:t>
            </w:r>
            <w:r w:rsidRPr="002E4D67">
              <w:rPr>
                <w:rFonts w:cstheme="minorHAnsi"/>
                <w:szCs w:val="20"/>
                <w:lang w:val="en-US"/>
              </w:rPr>
              <w:t xml:space="preserve"> and remains in the </w:t>
            </w:r>
            <w:r w:rsidRPr="002E4D67">
              <w:rPr>
                <w:rStyle w:val="Fett"/>
                <w:rFonts w:cstheme="minorHAnsi"/>
                <w:szCs w:val="20"/>
                <w:lang w:val="en-US"/>
              </w:rPr>
              <w:t>pre-operational and preparatory phase</w:t>
            </w:r>
            <w:r w:rsidRPr="002E4D67">
              <w:rPr>
                <w:rFonts w:cstheme="minorHAnsi"/>
                <w:szCs w:val="20"/>
                <w:lang w:val="en-US"/>
              </w:rPr>
              <w:t>, pending completion of the relevant regulatory and legal assessments.</w:t>
            </w:r>
          </w:p>
        </w:tc>
      </w:tr>
      <w:tr w:rsidR="00BC1B8C" w:rsidRPr="002E4D67" w14:paraId="56F8543C" w14:textId="77777777" w:rsidTr="000C3FE7">
        <w:tc>
          <w:tcPr>
            <w:tcW w:w="8356" w:type="dxa"/>
            <w:gridSpan w:val="2"/>
          </w:tcPr>
          <w:p w14:paraId="3A3323FC" w14:textId="6ED486AB" w:rsidR="00BC1B8C" w:rsidRPr="002E4D67" w:rsidRDefault="00BC1B8C" w:rsidP="00BC1B8C">
            <w:pPr>
              <w:pStyle w:val="berschrift1"/>
              <w:keepNext w:val="0"/>
              <w:keepLines w:val="0"/>
              <w:rPr>
                <w:lang w:val="en-US"/>
              </w:rPr>
            </w:pPr>
            <w:bookmarkStart w:id="98" w:name="_Toc213179130"/>
            <w:r w:rsidRPr="002E4D67">
              <w:rPr>
                <w:lang w:val="en-US"/>
              </w:rPr>
              <w:lastRenderedPageBreak/>
              <w:t>Part B – Information about the issuer, if different from the offeror or person seeking admission to trading</w:t>
            </w:r>
            <w:bookmarkEnd w:id="98"/>
          </w:p>
        </w:tc>
      </w:tr>
      <w:tr w:rsidR="00BC1B8C" w:rsidRPr="002E4D67" w14:paraId="1A6B1C56" w14:textId="77777777" w:rsidTr="002C07D1">
        <w:tc>
          <w:tcPr>
            <w:tcW w:w="8356" w:type="dxa"/>
            <w:gridSpan w:val="2"/>
          </w:tcPr>
          <w:p w14:paraId="6399B2BE" w14:textId="567D4798" w:rsidR="00BC1B8C" w:rsidRPr="002E4D67" w:rsidRDefault="00BC1B8C" w:rsidP="00BC1B8C">
            <w:pPr>
              <w:pStyle w:val="Textkrper"/>
              <w:rPr>
                <w:rFonts w:cstheme="minorHAnsi"/>
                <w:lang w:val="en-US"/>
              </w:rPr>
            </w:pPr>
            <w:r w:rsidRPr="002E4D67">
              <w:rPr>
                <w:rFonts w:cstheme="minorHAnsi"/>
                <w:lang w:val="en-US"/>
              </w:rPr>
              <w:t>Not applicable.</w:t>
            </w:r>
          </w:p>
        </w:tc>
      </w:tr>
      <w:tr w:rsidR="00BC1B8C" w:rsidRPr="002E4D67" w14:paraId="6AA1BAA3" w14:textId="77777777" w:rsidTr="002C07D1">
        <w:tc>
          <w:tcPr>
            <w:tcW w:w="8356" w:type="dxa"/>
            <w:gridSpan w:val="2"/>
          </w:tcPr>
          <w:p w14:paraId="47BE4D21" w14:textId="23E4EB43" w:rsidR="00BC1B8C" w:rsidRPr="002E4D67" w:rsidRDefault="00BC1B8C" w:rsidP="00BC1B8C">
            <w:pPr>
              <w:pStyle w:val="berschrift1"/>
              <w:keepNext w:val="0"/>
              <w:keepLines w:val="0"/>
              <w:rPr>
                <w:lang w:val="en-US"/>
              </w:rPr>
            </w:pPr>
            <w:bookmarkStart w:id="99" w:name="_Toc213179131"/>
            <w:r w:rsidRPr="002E4D67">
              <w:rPr>
                <w:lang w:val="en-US"/>
              </w:rPr>
              <w:t>Part C - Information about the operator of the trading platform in cases where it draws up the crypto-asset white paper and information about other persons drawing the crypto-asset white paper pursuant to Article 6(1), second subparagraph, of Regulation (EU) 2023/1114</w:t>
            </w:r>
            <w:bookmarkEnd w:id="99"/>
          </w:p>
        </w:tc>
      </w:tr>
      <w:tr w:rsidR="00BC1B8C" w:rsidRPr="002E4D67" w14:paraId="21106A18" w14:textId="77777777" w:rsidTr="002C07D1">
        <w:tc>
          <w:tcPr>
            <w:tcW w:w="8356" w:type="dxa"/>
            <w:gridSpan w:val="2"/>
          </w:tcPr>
          <w:p w14:paraId="45246A57" w14:textId="51C1E216" w:rsidR="00BC1B8C" w:rsidRPr="002E4D67" w:rsidRDefault="00BC1B8C" w:rsidP="00BC1B8C">
            <w:pPr>
              <w:pStyle w:val="Textkrper"/>
              <w:rPr>
                <w:rFonts w:cstheme="minorHAnsi"/>
                <w:lang w:val="en-US"/>
              </w:rPr>
            </w:pPr>
            <w:r w:rsidRPr="002E4D67">
              <w:rPr>
                <w:rFonts w:cstheme="minorHAnsi"/>
                <w:lang w:val="en-US"/>
              </w:rPr>
              <w:t>Not applicable.</w:t>
            </w:r>
          </w:p>
        </w:tc>
      </w:tr>
      <w:tr w:rsidR="00BC1B8C" w:rsidRPr="002E4D67" w14:paraId="37735087" w14:textId="77777777" w:rsidTr="002C07D1">
        <w:tc>
          <w:tcPr>
            <w:tcW w:w="8356" w:type="dxa"/>
            <w:gridSpan w:val="2"/>
          </w:tcPr>
          <w:p w14:paraId="6462A57B" w14:textId="063DE93C" w:rsidR="00BC1B8C" w:rsidRPr="002E4D67" w:rsidRDefault="00BC1B8C" w:rsidP="00BC1B8C">
            <w:pPr>
              <w:pStyle w:val="berschrift1"/>
              <w:keepNext w:val="0"/>
              <w:keepLines w:val="0"/>
              <w:rPr>
                <w:lang w:val="en-US"/>
              </w:rPr>
            </w:pPr>
            <w:bookmarkStart w:id="100" w:name="_Toc213179132"/>
            <w:r w:rsidRPr="002E4D67">
              <w:rPr>
                <w:lang w:val="en-US"/>
              </w:rPr>
              <w:t>Part D – Information about the crypto-asset project</w:t>
            </w:r>
            <w:bookmarkEnd w:id="100"/>
          </w:p>
        </w:tc>
      </w:tr>
      <w:tr w:rsidR="00BC1B8C" w:rsidRPr="002E4D67" w14:paraId="561D2E0D" w14:textId="77777777" w:rsidTr="00D64090">
        <w:tc>
          <w:tcPr>
            <w:tcW w:w="1985" w:type="dxa"/>
          </w:tcPr>
          <w:p w14:paraId="1D9CEEA0" w14:textId="1856B5B8" w:rsidR="00BC1B8C" w:rsidRPr="002E4D67" w:rsidRDefault="00BC1B8C" w:rsidP="00BC1B8C">
            <w:pPr>
              <w:pStyle w:val="berschrift1"/>
              <w:keepNext w:val="0"/>
              <w:keepLines w:val="0"/>
              <w:rPr>
                <w:lang w:val="en-US"/>
              </w:rPr>
            </w:pPr>
            <w:bookmarkStart w:id="101" w:name="_Toc212017853"/>
            <w:bookmarkStart w:id="102" w:name="_Toc213164146"/>
            <w:bookmarkStart w:id="103" w:name="_Toc213179133"/>
            <w:r w:rsidRPr="002E4D67">
              <w:rPr>
                <w:lang w:val="en-US"/>
              </w:rPr>
              <w:t>D.1 Crypto-asset project name</w:t>
            </w:r>
            <w:bookmarkEnd w:id="101"/>
            <w:bookmarkEnd w:id="102"/>
            <w:bookmarkEnd w:id="103"/>
          </w:p>
        </w:tc>
        <w:tc>
          <w:tcPr>
            <w:tcW w:w="6371" w:type="dxa"/>
          </w:tcPr>
          <w:p w14:paraId="287B3CC7" w14:textId="77777777" w:rsidR="00BC1B8C" w:rsidRPr="002E4D67" w:rsidRDefault="00BC1B8C" w:rsidP="00BC1B8C">
            <w:pPr>
              <w:pStyle w:val="Textkrper"/>
              <w:rPr>
                <w:rFonts w:cstheme="minorHAnsi"/>
                <w:color w:val="0000FF"/>
                <w:u w:val="double"/>
                <w:lang w:val="en-US"/>
              </w:rPr>
            </w:pPr>
            <w:bookmarkStart w:id="104" w:name="_cp_change_220"/>
            <w:r w:rsidRPr="002E4D67">
              <w:rPr>
                <w:rFonts w:cstheme="minorHAnsi"/>
                <w:lang w:val="en-US"/>
              </w:rPr>
              <w:t>The crypto-asset project name is WYND Utility Token ($WYND).</w:t>
            </w:r>
            <w:bookmarkStart w:id="105" w:name="_cp_change_219"/>
            <w:bookmarkEnd w:id="104"/>
          </w:p>
          <w:bookmarkEnd w:id="105"/>
          <w:p w14:paraId="1AD7712B" w14:textId="77777777" w:rsidR="00BC1B8C" w:rsidRPr="002E4D67" w:rsidRDefault="00BC1B8C" w:rsidP="00BC1B8C">
            <w:pPr>
              <w:pStyle w:val="Textkrper"/>
              <w:rPr>
                <w:rFonts w:cstheme="minorHAnsi"/>
                <w:lang w:val="en-US"/>
              </w:rPr>
            </w:pPr>
          </w:p>
        </w:tc>
      </w:tr>
      <w:tr w:rsidR="00BC1B8C" w:rsidRPr="002E4D67" w14:paraId="6F04D62E" w14:textId="77777777" w:rsidTr="00D64090">
        <w:tc>
          <w:tcPr>
            <w:tcW w:w="1985" w:type="dxa"/>
          </w:tcPr>
          <w:p w14:paraId="1B8A0169" w14:textId="3592233F" w:rsidR="00BC1B8C" w:rsidRPr="002E4D67" w:rsidRDefault="00BC1B8C" w:rsidP="00BC1B8C">
            <w:pPr>
              <w:pStyle w:val="berschrift1"/>
              <w:keepNext w:val="0"/>
              <w:keepLines w:val="0"/>
              <w:rPr>
                <w:lang w:val="en-US"/>
              </w:rPr>
            </w:pPr>
            <w:bookmarkStart w:id="106" w:name="_Toc212017855"/>
            <w:bookmarkStart w:id="107" w:name="_Toc213164147"/>
            <w:bookmarkStart w:id="108" w:name="_Toc213179134"/>
            <w:r w:rsidRPr="002E4D67">
              <w:rPr>
                <w:lang w:val="en-US"/>
              </w:rPr>
              <w:t>D.2 Crypto-assets name</w:t>
            </w:r>
            <w:bookmarkEnd w:id="106"/>
            <w:bookmarkEnd w:id="107"/>
            <w:bookmarkEnd w:id="108"/>
          </w:p>
        </w:tc>
        <w:tc>
          <w:tcPr>
            <w:tcW w:w="6371" w:type="dxa"/>
          </w:tcPr>
          <w:p w14:paraId="1864D324" w14:textId="77777777" w:rsidR="00BC1B8C" w:rsidRPr="002E4D67" w:rsidRDefault="00BC1B8C" w:rsidP="00BC1B8C">
            <w:pPr>
              <w:pStyle w:val="Textkrper"/>
              <w:rPr>
                <w:rFonts w:cstheme="minorHAnsi"/>
                <w:lang w:val="en-US"/>
              </w:rPr>
            </w:pPr>
            <w:r w:rsidRPr="002E4D67">
              <w:rPr>
                <w:rFonts w:cstheme="minorHAnsi"/>
                <w:lang w:val="en-US"/>
              </w:rPr>
              <w:t xml:space="preserve">WYND Utility token </w:t>
            </w:r>
          </w:p>
        </w:tc>
      </w:tr>
      <w:tr w:rsidR="00BC1B8C" w:rsidRPr="002E4D67" w14:paraId="06C4E511" w14:textId="77777777" w:rsidTr="00D64090">
        <w:tc>
          <w:tcPr>
            <w:tcW w:w="1985" w:type="dxa"/>
          </w:tcPr>
          <w:p w14:paraId="49FDB459" w14:textId="171C36FB" w:rsidR="00BC1B8C" w:rsidRPr="002E4D67" w:rsidRDefault="00BC1B8C" w:rsidP="00BC1B8C">
            <w:pPr>
              <w:pStyle w:val="berschrift1"/>
              <w:keepNext w:val="0"/>
              <w:keepLines w:val="0"/>
              <w:rPr>
                <w:lang w:val="en-US"/>
              </w:rPr>
            </w:pPr>
            <w:bookmarkStart w:id="109" w:name="_Toc212017857"/>
            <w:bookmarkStart w:id="110" w:name="_Toc213164148"/>
            <w:bookmarkStart w:id="111" w:name="_Toc213179135"/>
            <w:r w:rsidRPr="002E4D67">
              <w:rPr>
                <w:lang w:val="en-US"/>
              </w:rPr>
              <w:t>D.3 Abbreviation</w:t>
            </w:r>
            <w:bookmarkEnd w:id="109"/>
            <w:bookmarkEnd w:id="110"/>
            <w:bookmarkEnd w:id="111"/>
          </w:p>
        </w:tc>
        <w:tc>
          <w:tcPr>
            <w:tcW w:w="6371" w:type="dxa"/>
          </w:tcPr>
          <w:p w14:paraId="24FC869C" w14:textId="77777777" w:rsidR="00BC1B8C" w:rsidRPr="002E4D67" w:rsidRDefault="00BC1B8C" w:rsidP="00BC1B8C">
            <w:pPr>
              <w:pStyle w:val="Textkrper"/>
              <w:rPr>
                <w:rFonts w:cstheme="minorHAnsi"/>
                <w:lang w:val="en-US"/>
              </w:rPr>
            </w:pPr>
            <w:r w:rsidRPr="002E4D67">
              <w:rPr>
                <w:rFonts w:cstheme="minorHAnsi"/>
                <w:lang w:val="en-US"/>
              </w:rPr>
              <w:t>$WYND</w:t>
            </w:r>
          </w:p>
        </w:tc>
      </w:tr>
      <w:tr w:rsidR="00447029" w:rsidRPr="002E4D67" w14:paraId="061164AA" w14:textId="77777777" w:rsidTr="00B115C4">
        <w:tc>
          <w:tcPr>
            <w:tcW w:w="1985" w:type="dxa"/>
          </w:tcPr>
          <w:p w14:paraId="3E2DCBC2" w14:textId="0DEF5BF7" w:rsidR="00447029" w:rsidRPr="002E4D67" w:rsidRDefault="00447029" w:rsidP="00447029">
            <w:pPr>
              <w:pStyle w:val="berschrift1"/>
              <w:keepNext w:val="0"/>
              <w:keepLines w:val="0"/>
              <w:rPr>
                <w:lang w:val="en-US"/>
              </w:rPr>
            </w:pPr>
            <w:bookmarkStart w:id="112" w:name="_Toc212017859"/>
            <w:bookmarkStart w:id="113" w:name="_Toc213164149"/>
            <w:bookmarkStart w:id="114" w:name="_Toc213179136"/>
            <w:r w:rsidRPr="002E4D67">
              <w:rPr>
                <w:lang w:val="en-US"/>
              </w:rPr>
              <w:t>D.4 Crypto-asset project description</w:t>
            </w:r>
            <w:bookmarkEnd w:id="112"/>
            <w:bookmarkEnd w:id="113"/>
            <w:bookmarkEnd w:id="114"/>
          </w:p>
        </w:tc>
        <w:tc>
          <w:tcPr>
            <w:tcW w:w="6371" w:type="dxa"/>
            <w:tcBorders>
              <w:bottom w:val="single" w:sz="4" w:space="0" w:color="auto"/>
            </w:tcBorders>
          </w:tcPr>
          <w:p w14:paraId="50B595DD" w14:textId="77777777" w:rsidR="00447029" w:rsidRPr="002E4D67" w:rsidRDefault="00447029" w:rsidP="00447029">
            <w:pPr>
              <w:pStyle w:val="StandardWeb"/>
              <w:rPr>
                <w:rFonts w:cstheme="minorHAnsi"/>
                <w:szCs w:val="20"/>
                <w:lang w:val="en-US"/>
              </w:rPr>
            </w:pPr>
            <w:r w:rsidRPr="002E4D67">
              <w:rPr>
                <w:rFonts w:cstheme="minorHAnsi"/>
                <w:szCs w:val="20"/>
                <w:lang w:val="en-US"/>
              </w:rPr>
              <w:t xml:space="preserve">WYND Capital GmbH, Hamburg, Germany, is developing a blockchain-based access and service ecosystem under the brand name </w:t>
            </w:r>
            <w:r w:rsidRPr="002E4D67">
              <w:rPr>
                <w:rStyle w:val="Fett"/>
                <w:rFonts w:cstheme="minorHAnsi"/>
                <w:szCs w:val="20"/>
                <w:lang w:val="en-US"/>
              </w:rPr>
              <w:t>WYND</w:t>
            </w:r>
            <w:r w:rsidRPr="002E4D67">
              <w:rPr>
                <w:rFonts w:cstheme="minorHAnsi"/>
                <w:szCs w:val="20"/>
                <w:lang w:val="en-US"/>
              </w:rPr>
              <w:t>.</w:t>
            </w:r>
            <w:r w:rsidRPr="002E4D67">
              <w:rPr>
                <w:rFonts w:cstheme="minorHAnsi"/>
                <w:szCs w:val="20"/>
                <w:lang w:val="en-US"/>
              </w:rPr>
              <w:br/>
              <w:t xml:space="preserve">The project aims to digitalize the access to real-world travel, leisure, and concierge services through the issuance of a </w:t>
            </w:r>
            <w:r w:rsidRPr="002E4D67">
              <w:rPr>
                <w:rStyle w:val="Fett"/>
                <w:rFonts w:cstheme="minorHAnsi"/>
                <w:szCs w:val="20"/>
                <w:lang w:val="en-US"/>
              </w:rPr>
              <w:t>utility token</w:t>
            </w:r>
            <w:r w:rsidRPr="002E4D67">
              <w:rPr>
                <w:rFonts w:cstheme="minorHAnsi"/>
                <w:szCs w:val="20"/>
                <w:lang w:val="en-US"/>
              </w:rPr>
              <w:t xml:space="preserve"> (the </w:t>
            </w:r>
            <w:r w:rsidRPr="002E4D67">
              <w:rPr>
                <w:rStyle w:val="Hervorhebung"/>
                <w:rFonts w:cstheme="minorHAnsi"/>
                <w:szCs w:val="20"/>
                <w:lang w:val="en-US"/>
              </w:rPr>
              <w:t>“WYND Utility Token” or “$WYND”</w:t>
            </w:r>
            <w:r w:rsidRPr="002E4D67">
              <w:rPr>
                <w:rFonts w:cstheme="minorHAnsi"/>
                <w:szCs w:val="20"/>
                <w:lang w:val="en-US"/>
              </w:rPr>
              <w:t>).</w:t>
            </w:r>
          </w:p>
          <w:p w14:paraId="61431886" w14:textId="77777777" w:rsidR="00447029" w:rsidRPr="002E4D67" w:rsidRDefault="00447029" w:rsidP="00447029">
            <w:pPr>
              <w:pStyle w:val="StandardWeb"/>
              <w:rPr>
                <w:rFonts w:cstheme="minorHAnsi"/>
                <w:szCs w:val="20"/>
                <w:lang w:val="en-US"/>
              </w:rPr>
            </w:pPr>
            <w:r w:rsidRPr="002E4D67">
              <w:rPr>
                <w:rFonts w:cstheme="minorHAnsi"/>
                <w:szCs w:val="20"/>
                <w:lang w:val="en-US"/>
              </w:rPr>
              <w:t xml:space="preserve">The </w:t>
            </w:r>
            <w:r w:rsidRPr="002E4D67">
              <w:rPr>
                <w:rStyle w:val="Fett"/>
                <w:rFonts w:cstheme="minorHAnsi"/>
                <w:szCs w:val="20"/>
                <w:lang w:val="en-US"/>
              </w:rPr>
              <w:t>$WYND token</w:t>
            </w:r>
            <w:r w:rsidRPr="002E4D67">
              <w:rPr>
                <w:rFonts w:cstheme="minorHAnsi"/>
                <w:szCs w:val="20"/>
                <w:lang w:val="en-US"/>
              </w:rPr>
              <w:t xml:space="preserve"> is designed exclusively as a </w:t>
            </w:r>
            <w:r w:rsidRPr="002E4D67">
              <w:rPr>
                <w:rStyle w:val="Fett"/>
                <w:rFonts w:cstheme="minorHAnsi"/>
                <w:szCs w:val="20"/>
                <w:lang w:val="en-US"/>
              </w:rPr>
              <w:t>non-investment, usage-based crypto-asset</w:t>
            </w:r>
            <w:r w:rsidRPr="002E4D67">
              <w:rPr>
                <w:rFonts w:cstheme="minorHAnsi"/>
                <w:szCs w:val="20"/>
                <w:lang w:val="en-US"/>
              </w:rPr>
              <w:t xml:space="preserve"> that grants holders digital access and certain privileges within the WYND ecosystem.</w:t>
            </w:r>
            <w:r w:rsidRPr="002E4D67">
              <w:rPr>
                <w:rFonts w:cstheme="minorHAnsi"/>
                <w:szCs w:val="20"/>
                <w:lang w:val="en-US"/>
              </w:rPr>
              <w:br/>
              <w:t>These include, in particular, the right to book and participate in services offered by WYND Capital GmbH and its contractual partners, such as:</w:t>
            </w:r>
          </w:p>
          <w:p w14:paraId="6610B354" w14:textId="77777777" w:rsidR="00447029" w:rsidRPr="002E4D67" w:rsidRDefault="00447029" w:rsidP="00447029">
            <w:pPr>
              <w:pStyle w:val="StandardWeb"/>
              <w:numPr>
                <w:ilvl w:val="0"/>
                <w:numId w:val="30"/>
              </w:numPr>
              <w:overflowPunct/>
              <w:autoSpaceDE/>
              <w:autoSpaceDN/>
              <w:adjustRightInd/>
              <w:spacing w:before="100" w:beforeAutospacing="1" w:after="100" w:afterAutospacing="1" w:line="240" w:lineRule="auto"/>
              <w:jc w:val="left"/>
              <w:textAlignment w:val="auto"/>
              <w:rPr>
                <w:rFonts w:cstheme="minorHAnsi"/>
                <w:szCs w:val="20"/>
                <w:lang w:val="en-US"/>
              </w:rPr>
            </w:pPr>
            <w:r w:rsidRPr="002E4D67">
              <w:rPr>
                <w:rFonts w:cstheme="minorHAnsi"/>
                <w:szCs w:val="20"/>
                <w:lang w:val="en-US"/>
              </w:rPr>
              <w:t>WYND Discovery Weeks (operational yacht experiences currently offered at the Red Sea),</w:t>
            </w:r>
          </w:p>
          <w:p w14:paraId="29BC97E0" w14:textId="68EBD6FF" w:rsidR="00447029" w:rsidRPr="002E4D67" w:rsidRDefault="00447029" w:rsidP="00447029">
            <w:pPr>
              <w:pStyle w:val="StandardWeb"/>
              <w:numPr>
                <w:ilvl w:val="0"/>
                <w:numId w:val="30"/>
              </w:numPr>
              <w:overflowPunct/>
              <w:autoSpaceDE/>
              <w:autoSpaceDN/>
              <w:adjustRightInd/>
              <w:spacing w:before="100" w:beforeAutospacing="1" w:after="100" w:afterAutospacing="1" w:line="240" w:lineRule="auto"/>
              <w:jc w:val="left"/>
              <w:textAlignment w:val="auto"/>
              <w:rPr>
                <w:rFonts w:cstheme="minorHAnsi"/>
                <w:szCs w:val="20"/>
                <w:lang w:val="en-US"/>
              </w:rPr>
            </w:pPr>
            <w:r w:rsidRPr="002E4D67">
              <w:rPr>
                <w:rFonts w:cstheme="minorHAnsi"/>
                <w:szCs w:val="20"/>
                <w:lang w:val="en-US"/>
              </w:rPr>
              <w:t>future WYND Yacht Voyages (expected from 2029 onwards),</w:t>
            </w:r>
          </w:p>
          <w:p w14:paraId="431B379A" w14:textId="77777777" w:rsidR="00447029" w:rsidRPr="002E4D67" w:rsidRDefault="00447029" w:rsidP="00447029">
            <w:pPr>
              <w:pStyle w:val="StandardWeb"/>
              <w:numPr>
                <w:ilvl w:val="0"/>
                <w:numId w:val="30"/>
              </w:numPr>
              <w:overflowPunct/>
              <w:autoSpaceDE/>
              <w:autoSpaceDN/>
              <w:adjustRightInd/>
              <w:spacing w:before="100" w:beforeAutospacing="1" w:after="100" w:afterAutospacing="1" w:line="240" w:lineRule="auto"/>
              <w:jc w:val="left"/>
              <w:textAlignment w:val="auto"/>
              <w:rPr>
                <w:rFonts w:cstheme="minorHAnsi"/>
                <w:szCs w:val="20"/>
                <w:lang w:val="en-US"/>
              </w:rPr>
            </w:pPr>
            <w:r w:rsidRPr="002E4D67">
              <w:rPr>
                <w:rFonts w:cstheme="minorHAnsi"/>
                <w:szCs w:val="20"/>
                <w:lang w:val="en-US"/>
              </w:rPr>
              <w:lastRenderedPageBreak/>
              <w:t>WYND Concierge and curated experience services, and</w:t>
            </w:r>
          </w:p>
          <w:p w14:paraId="0630F6E0" w14:textId="77777777" w:rsidR="00447029" w:rsidRPr="002E4D67" w:rsidRDefault="00447029" w:rsidP="00447029">
            <w:pPr>
              <w:pStyle w:val="StandardWeb"/>
              <w:numPr>
                <w:ilvl w:val="0"/>
                <w:numId w:val="30"/>
              </w:numPr>
              <w:overflowPunct/>
              <w:autoSpaceDE/>
              <w:autoSpaceDN/>
              <w:adjustRightInd/>
              <w:spacing w:before="100" w:beforeAutospacing="1" w:after="100" w:afterAutospacing="1" w:line="240" w:lineRule="auto"/>
              <w:jc w:val="left"/>
              <w:textAlignment w:val="auto"/>
              <w:rPr>
                <w:rFonts w:cstheme="minorHAnsi"/>
                <w:szCs w:val="20"/>
                <w:lang w:val="en-US"/>
              </w:rPr>
            </w:pPr>
            <w:r w:rsidRPr="002E4D67">
              <w:rPr>
                <w:rFonts w:cstheme="minorHAnsi"/>
                <w:szCs w:val="20"/>
                <w:lang w:val="en-US"/>
              </w:rPr>
              <w:t>future WYND Jet &amp; Heli services.</w:t>
            </w:r>
          </w:p>
          <w:p w14:paraId="1F7BA061" w14:textId="77777777" w:rsidR="00447029" w:rsidRPr="002E4D67" w:rsidRDefault="00447029" w:rsidP="00447029">
            <w:pPr>
              <w:pStyle w:val="StandardWeb"/>
              <w:rPr>
                <w:rFonts w:cstheme="minorHAnsi"/>
                <w:szCs w:val="20"/>
                <w:lang w:val="en-US"/>
              </w:rPr>
            </w:pPr>
            <w:r w:rsidRPr="002E4D67">
              <w:rPr>
                <w:rFonts w:cstheme="minorHAnsi"/>
                <w:szCs w:val="20"/>
                <w:lang w:val="en-US"/>
              </w:rPr>
              <w:t>The WYND project is structured in three main development stages:</w:t>
            </w:r>
          </w:p>
          <w:p w14:paraId="64C47B22" w14:textId="77777777" w:rsidR="00447029" w:rsidRPr="002E4D67" w:rsidRDefault="00447029" w:rsidP="00447029">
            <w:pPr>
              <w:pStyle w:val="StandardWeb"/>
              <w:numPr>
                <w:ilvl w:val="0"/>
                <w:numId w:val="31"/>
              </w:numPr>
              <w:overflowPunct/>
              <w:autoSpaceDE/>
              <w:autoSpaceDN/>
              <w:adjustRightInd/>
              <w:spacing w:before="100" w:beforeAutospacing="1" w:after="100" w:afterAutospacing="1" w:line="240" w:lineRule="auto"/>
              <w:jc w:val="left"/>
              <w:textAlignment w:val="auto"/>
              <w:rPr>
                <w:rFonts w:cstheme="minorHAnsi"/>
                <w:szCs w:val="20"/>
                <w:lang w:val="en-US"/>
              </w:rPr>
            </w:pPr>
            <w:r w:rsidRPr="002E4D67">
              <w:rPr>
                <w:rStyle w:val="Fett"/>
                <w:rFonts w:cstheme="minorHAnsi"/>
                <w:szCs w:val="20"/>
                <w:lang w:val="en-US"/>
              </w:rPr>
              <w:t>Phase 1 – Proof of Concept (2023–2025)</w:t>
            </w:r>
            <w:r w:rsidRPr="002E4D67">
              <w:rPr>
                <w:rFonts w:cstheme="minorHAnsi"/>
                <w:szCs w:val="20"/>
                <w:lang w:val="en-US"/>
              </w:rPr>
              <w:br/>
              <w:t>During this stage, WYND successfully operated boutique-format yacht experiences (“WYND Discovery Weeks”) with up to 16 guests and 13 crew members, establishing operational procedures, quality standards, and customer demand as the functional basis of the ecosystem.</w:t>
            </w:r>
          </w:p>
          <w:p w14:paraId="60B4B5A5" w14:textId="77777777" w:rsidR="00447029" w:rsidRPr="002E4D67" w:rsidRDefault="00447029" w:rsidP="00447029">
            <w:pPr>
              <w:pStyle w:val="StandardWeb"/>
              <w:numPr>
                <w:ilvl w:val="0"/>
                <w:numId w:val="31"/>
              </w:numPr>
              <w:overflowPunct/>
              <w:autoSpaceDE/>
              <w:autoSpaceDN/>
              <w:adjustRightInd/>
              <w:spacing w:before="100" w:beforeAutospacing="1" w:after="100" w:afterAutospacing="1" w:line="240" w:lineRule="auto"/>
              <w:jc w:val="left"/>
              <w:textAlignment w:val="auto"/>
              <w:rPr>
                <w:rFonts w:cstheme="minorHAnsi"/>
                <w:szCs w:val="20"/>
                <w:lang w:val="en-US"/>
              </w:rPr>
            </w:pPr>
            <w:r w:rsidRPr="002E4D67">
              <w:rPr>
                <w:rStyle w:val="Fett"/>
                <w:rFonts w:cstheme="minorHAnsi"/>
                <w:szCs w:val="20"/>
                <w:lang w:val="en-US"/>
              </w:rPr>
              <w:t>Phase 2 – Token Launch and Service Integration (2025–2027)</w:t>
            </w:r>
            <w:r w:rsidRPr="002E4D67">
              <w:rPr>
                <w:rFonts w:cstheme="minorHAnsi"/>
                <w:szCs w:val="20"/>
                <w:lang w:val="en-US"/>
              </w:rPr>
              <w:br/>
              <w:t>WYND Capital GmbH issues the $WYND token to enable on-chain access to WYND services and to establish a unified digital membership system.</w:t>
            </w:r>
            <w:r w:rsidRPr="002E4D67">
              <w:rPr>
                <w:rFonts w:cstheme="minorHAnsi"/>
                <w:szCs w:val="20"/>
                <w:lang w:val="en-US"/>
              </w:rPr>
              <w:br/>
              <w:t>Token holders receive booking priority, loyalty benefits, and a fixed 15 % discount when paying for services with $WYND tokens.</w:t>
            </w:r>
            <w:r w:rsidRPr="002E4D67">
              <w:rPr>
                <w:rFonts w:cstheme="minorHAnsi"/>
                <w:szCs w:val="20"/>
                <w:lang w:val="en-US"/>
              </w:rPr>
              <w:br/>
              <w:t>In addition, holders may stake tokens to unlock higher membership tiers and related privileges.</w:t>
            </w:r>
          </w:p>
          <w:p w14:paraId="0FA9632C" w14:textId="591F969F" w:rsidR="00447029" w:rsidRPr="00F074A1" w:rsidRDefault="00447029" w:rsidP="00447029">
            <w:pPr>
              <w:pStyle w:val="StandardWeb"/>
              <w:numPr>
                <w:ilvl w:val="0"/>
                <w:numId w:val="31"/>
              </w:numPr>
              <w:overflowPunct/>
              <w:autoSpaceDE/>
              <w:autoSpaceDN/>
              <w:adjustRightInd/>
              <w:spacing w:before="100" w:beforeAutospacing="1" w:after="100" w:afterAutospacing="1" w:line="240" w:lineRule="auto"/>
              <w:jc w:val="left"/>
              <w:textAlignment w:val="auto"/>
              <w:rPr>
                <w:rFonts w:cstheme="minorHAnsi"/>
                <w:b/>
                <w:bCs/>
                <w:szCs w:val="20"/>
                <w:lang w:val="en-US"/>
              </w:rPr>
            </w:pPr>
            <w:r w:rsidRPr="002E4D67">
              <w:rPr>
                <w:rStyle w:val="Fett"/>
                <w:rFonts w:cstheme="minorHAnsi"/>
                <w:szCs w:val="20"/>
                <w:lang w:val="en-US"/>
              </w:rPr>
              <w:t>Phase 3 – Expansion and Real-Asset Integration (from 2029 onwards)</w:t>
            </w:r>
            <w:r w:rsidRPr="002E4D67">
              <w:rPr>
                <w:rFonts w:cstheme="minorHAnsi"/>
                <w:szCs w:val="20"/>
                <w:lang w:val="en-US"/>
              </w:rPr>
              <w:br/>
              <w:t>The first 52-meter yacht (“WYND I”) is planned to enter operation in 2029 and will host up to 12 guests and 11 crew.</w:t>
            </w:r>
            <w:r w:rsidRPr="002E4D67">
              <w:rPr>
                <w:rFonts w:cstheme="minorHAnsi"/>
                <w:szCs w:val="20"/>
                <w:lang w:val="en-US"/>
              </w:rPr>
              <w:br/>
              <w:t xml:space="preserve">The long-term objective is to expand to a fleet of </w:t>
            </w:r>
            <w:r w:rsidRPr="00F074A1">
              <w:rPr>
                <w:rFonts w:cstheme="minorHAnsi"/>
                <w:b/>
                <w:bCs/>
                <w:szCs w:val="20"/>
                <w:lang w:val="en-US"/>
              </w:rPr>
              <w:t>up to eight yachts operating globally in different regions.</w:t>
            </w:r>
          </w:p>
          <w:p w14:paraId="704E357F" w14:textId="77777777" w:rsidR="00447029" w:rsidRPr="002E4D67" w:rsidRDefault="00447029" w:rsidP="00447029">
            <w:pPr>
              <w:pStyle w:val="StandardWeb"/>
              <w:rPr>
                <w:rFonts w:cstheme="minorHAnsi"/>
                <w:szCs w:val="20"/>
                <w:lang w:val="en-US"/>
              </w:rPr>
            </w:pPr>
            <w:r w:rsidRPr="002E4D67">
              <w:rPr>
                <w:rFonts w:cstheme="minorHAnsi"/>
                <w:szCs w:val="20"/>
                <w:lang w:val="en-US"/>
              </w:rPr>
              <w:t xml:space="preserve">The </w:t>
            </w:r>
            <w:r w:rsidRPr="002E4D67">
              <w:rPr>
                <w:rStyle w:val="Fett"/>
                <w:rFonts w:cstheme="minorHAnsi"/>
                <w:szCs w:val="20"/>
                <w:lang w:val="en-US"/>
              </w:rPr>
              <w:t>$WYND token</w:t>
            </w:r>
            <w:r w:rsidRPr="002E4D67">
              <w:rPr>
                <w:rFonts w:cstheme="minorHAnsi"/>
                <w:szCs w:val="20"/>
                <w:lang w:val="en-US"/>
              </w:rPr>
              <w:t xml:space="preserve"> does </w:t>
            </w:r>
            <w:r w:rsidRPr="002E4D67">
              <w:rPr>
                <w:rStyle w:val="Fett"/>
                <w:rFonts w:cstheme="minorHAnsi"/>
                <w:szCs w:val="20"/>
                <w:lang w:val="en-US"/>
              </w:rPr>
              <w:t>not</w:t>
            </w:r>
            <w:r w:rsidRPr="002E4D67">
              <w:rPr>
                <w:rFonts w:cstheme="minorHAnsi"/>
                <w:szCs w:val="20"/>
                <w:lang w:val="en-US"/>
              </w:rPr>
              <w:t xml:space="preserve"> represent any claim for repayment, redemption, interest, dividend, profit participation, or ownership in any entity.</w:t>
            </w:r>
            <w:r w:rsidRPr="002E4D67">
              <w:rPr>
                <w:rFonts w:cstheme="minorHAnsi"/>
                <w:szCs w:val="20"/>
                <w:lang w:val="en-US"/>
              </w:rPr>
              <w:br/>
              <w:t xml:space="preserve">It serves solely as a </w:t>
            </w:r>
            <w:r w:rsidRPr="002E4D67">
              <w:rPr>
                <w:rStyle w:val="Fett"/>
                <w:rFonts w:cstheme="minorHAnsi"/>
                <w:szCs w:val="20"/>
                <w:lang w:val="en-US"/>
              </w:rPr>
              <w:t>digital access and service token</w:t>
            </w:r>
            <w:r w:rsidRPr="002E4D67">
              <w:rPr>
                <w:rFonts w:cstheme="minorHAnsi"/>
                <w:szCs w:val="20"/>
                <w:lang w:val="en-US"/>
              </w:rPr>
              <w:t xml:space="preserve"> whose value derives from its actual use within the WYND ecosystem and user demand for those services.</w:t>
            </w:r>
          </w:p>
          <w:p w14:paraId="036730EB" w14:textId="77777777" w:rsidR="00447029" w:rsidRPr="002E4D67" w:rsidRDefault="00447029" w:rsidP="00447029">
            <w:pPr>
              <w:pStyle w:val="StandardWeb"/>
              <w:rPr>
                <w:rFonts w:cstheme="minorHAnsi"/>
                <w:szCs w:val="20"/>
                <w:lang w:val="en-US"/>
              </w:rPr>
            </w:pPr>
            <w:r w:rsidRPr="002E4D67">
              <w:rPr>
                <w:rFonts w:cstheme="minorHAnsi"/>
                <w:szCs w:val="20"/>
                <w:lang w:val="en-US"/>
              </w:rPr>
              <w:t xml:space="preserve">Consequently, the </w:t>
            </w:r>
            <w:r w:rsidRPr="002E4D67">
              <w:rPr>
                <w:rStyle w:val="Fett"/>
                <w:rFonts w:cstheme="minorHAnsi"/>
                <w:szCs w:val="20"/>
                <w:lang w:val="en-US"/>
              </w:rPr>
              <w:t>$WYND token</w:t>
            </w:r>
            <w:r w:rsidRPr="002E4D67">
              <w:rPr>
                <w:rFonts w:cstheme="minorHAnsi"/>
                <w:szCs w:val="20"/>
                <w:lang w:val="en-US"/>
              </w:rPr>
              <w:t xml:space="preserve"> qualifies as a </w:t>
            </w:r>
            <w:r w:rsidRPr="002E4D67">
              <w:rPr>
                <w:rStyle w:val="Fett"/>
                <w:rFonts w:cstheme="minorHAnsi"/>
                <w:szCs w:val="20"/>
                <w:lang w:val="en-US"/>
              </w:rPr>
              <w:t>pure utility token</w:t>
            </w:r>
            <w:r w:rsidRPr="002E4D67">
              <w:rPr>
                <w:rFonts w:cstheme="minorHAnsi"/>
                <w:szCs w:val="20"/>
                <w:lang w:val="en-US"/>
              </w:rPr>
              <w:t xml:space="preserve"> within the meaning of Article 3(1)(6) MiCAR and does </w:t>
            </w:r>
            <w:r w:rsidRPr="002E4D67">
              <w:rPr>
                <w:rStyle w:val="Fett"/>
                <w:rFonts w:cstheme="minorHAnsi"/>
                <w:szCs w:val="20"/>
                <w:lang w:val="en-US"/>
              </w:rPr>
              <w:t>not</w:t>
            </w:r>
            <w:r w:rsidRPr="002E4D67">
              <w:rPr>
                <w:rFonts w:cstheme="minorHAnsi"/>
                <w:szCs w:val="20"/>
                <w:lang w:val="en-US"/>
              </w:rPr>
              <w:t xml:space="preserve"> constitute a financial instrument, e-money, or asset-referenced token.</w:t>
            </w:r>
          </w:p>
          <w:p w14:paraId="499C23AC" w14:textId="77777777" w:rsidR="00447029" w:rsidRPr="002E4D67" w:rsidRDefault="00447029" w:rsidP="00447029">
            <w:pPr>
              <w:pStyle w:val="Textkrper"/>
              <w:rPr>
                <w:rFonts w:cstheme="minorHAnsi"/>
                <w:lang w:val="en-US"/>
              </w:rPr>
            </w:pPr>
          </w:p>
        </w:tc>
      </w:tr>
      <w:tr w:rsidR="00447029" w:rsidRPr="002E4D67" w14:paraId="0654BE25" w14:textId="77777777" w:rsidTr="00D64090">
        <w:tc>
          <w:tcPr>
            <w:tcW w:w="1985" w:type="dxa"/>
          </w:tcPr>
          <w:p w14:paraId="59CD0494" w14:textId="4DCDFB5B" w:rsidR="00447029" w:rsidRPr="002E4D67" w:rsidRDefault="00447029" w:rsidP="00447029">
            <w:pPr>
              <w:pStyle w:val="berschrift1"/>
              <w:keepNext w:val="0"/>
              <w:keepLines w:val="0"/>
              <w:rPr>
                <w:lang w:val="en-US"/>
              </w:rPr>
            </w:pPr>
            <w:bookmarkStart w:id="115" w:name="_Toc212017861"/>
            <w:bookmarkStart w:id="116" w:name="_Toc213164150"/>
            <w:bookmarkStart w:id="117" w:name="_Toc213179137"/>
            <w:r w:rsidRPr="002E4D67">
              <w:rPr>
                <w:lang w:val="en-US"/>
              </w:rPr>
              <w:lastRenderedPageBreak/>
              <w:t>D.5 Details of all natural or legal persons involved in the implementation of the crypto-asset project</w:t>
            </w:r>
            <w:bookmarkEnd w:id="115"/>
            <w:bookmarkEnd w:id="116"/>
            <w:bookmarkEnd w:id="117"/>
          </w:p>
        </w:tc>
        <w:tc>
          <w:tcPr>
            <w:tcW w:w="6371" w:type="dxa"/>
          </w:tcPr>
          <w:p w14:paraId="5AF98038" w14:textId="2887FABE" w:rsidR="00447029" w:rsidRPr="002E4D67" w:rsidRDefault="00447029" w:rsidP="00447029">
            <w:pPr>
              <w:pStyle w:val="StandardWeb"/>
              <w:rPr>
                <w:rFonts w:cstheme="minorHAnsi"/>
                <w:szCs w:val="20"/>
                <w:lang w:val="en-US"/>
              </w:rPr>
            </w:pPr>
            <w:r w:rsidRPr="002E4D67">
              <w:rPr>
                <w:rFonts w:cstheme="minorHAnsi"/>
                <w:szCs w:val="20"/>
                <w:lang w:val="en-US"/>
              </w:rPr>
              <w:t>The following natural and legal persons are involved in the conception, technical development, operational setup, and implementation of the WYND Utility Token project:</w:t>
            </w:r>
          </w:p>
          <w:tbl>
            <w:tblPr>
              <w:tblW w:w="61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0"/>
              <w:gridCol w:w="1418"/>
              <w:gridCol w:w="1513"/>
              <w:gridCol w:w="2030"/>
            </w:tblGrid>
            <w:tr w:rsidR="00447029" w:rsidRPr="002E4D67" w14:paraId="2B5257AD" w14:textId="77777777" w:rsidTr="00B115C4">
              <w:trPr>
                <w:tblHeader/>
                <w:tblCellSpacing w:w="15" w:type="dxa"/>
              </w:trPr>
              <w:tc>
                <w:tcPr>
                  <w:tcW w:w="1115" w:type="dxa"/>
                  <w:hideMark/>
                </w:tcPr>
                <w:p w14:paraId="30B8C18E" w14:textId="77777777" w:rsidR="00447029" w:rsidRPr="002E4D67" w:rsidRDefault="00447029" w:rsidP="00447029">
                  <w:pPr>
                    <w:rPr>
                      <w:rFonts w:cstheme="minorHAnsi"/>
                      <w:b/>
                      <w:bCs/>
                      <w:lang w:val="en-US"/>
                    </w:rPr>
                  </w:pPr>
                  <w:r w:rsidRPr="002E4D67">
                    <w:rPr>
                      <w:rStyle w:val="Fett"/>
                      <w:rFonts w:cstheme="minorHAnsi"/>
                      <w:lang w:val="en-US"/>
                    </w:rPr>
                    <w:lastRenderedPageBreak/>
                    <w:t>Name / Entity</w:t>
                  </w:r>
                </w:p>
              </w:tc>
              <w:tc>
                <w:tcPr>
                  <w:tcW w:w="1388" w:type="dxa"/>
                  <w:hideMark/>
                </w:tcPr>
                <w:p w14:paraId="3AE63CED" w14:textId="70BAE58A" w:rsidR="00447029" w:rsidRPr="002E4D67" w:rsidRDefault="00447029" w:rsidP="00447029">
                  <w:pPr>
                    <w:rPr>
                      <w:rFonts w:cstheme="minorHAnsi"/>
                      <w:b/>
                      <w:bCs/>
                      <w:lang w:val="en-US"/>
                    </w:rPr>
                  </w:pPr>
                  <w:r w:rsidRPr="002E4D67">
                    <w:rPr>
                      <w:rStyle w:val="Fett"/>
                      <w:rFonts w:cstheme="minorHAnsi"/>
                      <w:lang w:val="en-US"/>
                    </w:rPr>
                    <w:t>Role</w:t>
                  </w:r>
                  <w:r w:rsidR="00B115C4" w:rsidRPr="002E4D67">
                    <w:rPr>
                      <w:rStyle w:val="Fett"/>
                      <w:rFonts w:cstheme="minorHAnsi"/>
                      <w:lang w:val="en-US"/>
                    </w:rPr>
                    <w:t xml:space="preserve"> </w:t>
                  </w:r>
                  <w:r w:rsidRPr="002E4D67">
                    <w:rPr>
                      <w:rStyle w:val="Fett"/>
                      <w:rFonts w:cstheme="minorHAnsi"/>
                      <w:lang w:val="en-US"/>
                    </w:rPr>
                    <w:t>/</w:t>
                  </w:r>
                  <w:r w:rsidR="00B115C4" w:rsidRPr="002E4D67">
                    <w:rPr>
                      <w:rStyle w:val="Fett"/>
                      <w:rFonts w:cstheme="minorHAnsi"/>
                      <w:lang w:val="en-US"/>
                    </w:rPr>
                    <w:t xml:space="preserve"> </w:t>
                  </w:r>
                  <w:r w:rsidRPr="002E4D67">
                    <w:rPr>
                      <w:rStyle w:val="Fett"/>
                      <w:rFonts w:cstheme="minorHAnsi"/>
                      <w:lang w:val="en-US"/>
                    </w:rPr>
                    <w:t>Function</w:t>
                  </w:r>
                </w:p>
              </w:tc>
              <w:tc>
                <w:tcPr>
                  <w:tcW w:w="1483" w:type="dxa"/>
                  <w:hideMark/>
                </w:tcPr>
                <w:p w14:paraId="2DBC2FDC" w14:textId="77777777" w:rsidR="00447029" w:rsidRPr="002E4D67" w:rsidRDefault="00447029" w:rsidP="00447029">
                  <w:pPr>
                    <w:rPr>
                      <w:rFonts w:cstheme="minorHAnsi"/>
                      <w:b/>
                      <w:bCs/>
                      <w:lang w:val="en-US"/>
                    </w:rPr>
                  </w:pPr>
                  <w:r w:rsidRPr="002E4D67">
                    <w:rPr>
                      <w:rStyle w:val="Fett"/>
                      <w:rFonts w:cstheme="minorHAnsi"/>
                      <w:lang w:val="en-US"/>
                    </w:rPr>
                    <w:t>Registered Address / Domicile</w:t>
                  </w:r>
                </w:p>
              </w:tc>
              <w:tc>
                <w:tcPr>
                  <w:tcW w:w="1985" w:type="dxa"/>
                  <w:hideMark/>
                </w:tcPr>
                <w:p w14:paraId="2784C3A5" w14:textId="77777777" w:rsidR="00447029" w:rsidRPr="002E4D67" w:rsidRDefault="00447029" w:rsidP="00447029">
                  <w:pPr>
                    <w:rPr>
                      <w:rFonts w:cstheme="minorHAnsi"/>
                      <w:b/>
                      <w:bCs/>
                      <w:lang w:val="en-US"/>
                    </w:rPr>
                  </w:pPr>
                  <w:r w:rsidRPr="002E4D67">
                    <w:rPr>
                      <w:rStyle w:val="Fett"/>
                      <w:rFonts w:cstheme="minorHAnsi"/>
                      <w:lang w:val="en-US"/>
                    </w:rPr>
                    <w:t>Description of Involvement</w:t>
                  </w:r>
                </w:p>
              </w:tc>
            </w:tr>
            <w:tr w:rsidR="00447029" w:rsidRPr="002E4D67" w14:paraId="3D29EAE4" w14:textId="77777777" w:rsidTr="00B115C4">
              <w:trPr>
                <w:tblCellSpacing w:w="15" w:type="dxa"/>
              </w:trPr>
              <w:tc>
                <w:tcPr>
                  <w:tcW w:w="1115" w:type="dxa"/>
                  <w:hideMark/>
                </w:tcPr>
                <w:p w14:paraId="10FA4D4F" w14:textId="77777777" w:rsidR="00447029" w:rsidRPr="002E4D67" w:rsidRDefault="00447029" w:rsidP="00447029">
                  <w:pPr>
                    <w:rPr>
                      <w:rFonts w:cstheme="minorHAnsi"/>
                      <w:lang w:val="en-US"/>
                    </w:rPr>
                  </w:pPr>
                  <w:r w:rsidRPr="002E4D67">
                    <w:rPr>
                      <w:rStyle w:val="Fett"/>
                      <w:rFonts w:cstheme="minorHAnsi"/>
                      <w:lang w:val="en-US"/>
                    </w:rPr>
                    <w:t>WYND Capital GmbH</w:t>
                  </w:r>
                </w:p>
              </w:tc>
              <w:tc>
                <w:tcPr>
                  <w:tcW w:w="1388" w:type="dxa"/>
                  <w:hideMark/>
                </w:tcPr>
                <w:p w14:paraId="6D7491C9" w14:textId="77777777" w:rsidR="00447029" w:rsidRPr="002E4D67" w:rsidRDefault="00447029" w:rsidP="00447029">
                  <w:pPr>
                    <w:rPr>
                      <w:rFonts w:cstheme="minorHAnsi"/>
                      <w:lang w:val="en-US"/>
                    </w:rPr>
                  </w:pPr>
                  <w:r w:rsidRPr="002E4D67">
                    <w:rPr>
                      <w:rFonts w:cstheme="minorHAnsi"/>
                      <w:lang w:val="en-US"/>
                    </w:rPr>
                    <w:t>Issuer of the WYND Utility Token</w:t>
                  </w:r>
                </w:p>
              </w:tc>
              <w:tc>
                <w:tcPr>
                  <w:tcW w:w="1483" w:type="dxa"/>
                  <w:hideMark/>
                </w:tcPr>
                <w:p w14:paraId="2C09ADCD" w14:textId="77777777" w:rsidR="00447029" w:rsidRPr="002E4D67" w:rsidRDefault="00447029" w:rsidP="00447029">
                  <w:pPr>
                    <w:rPr>
                      <w:rFonts w:cstheme="minorHAnsi"/>
                      <w:lang w:val="en-US"/>
                    </w:rPr>
                  </w:pPr>
                  <w:r w:rsidRPr="002E4D67">
                    <w:rPr>
                      <w:rFonts w:cstheme="minorHAnsi"/>
                      <w:lang w:val="en-US"/>
                    </w:rPr>
                    <w:t>Schöne Aussicht 24, 22085 Hamburg, Germany</w:t>
                  </w:r>
                </w:p>
              </w:tc>
              <w:tc>
                <w:tcPr>
                  <w:tcW w:w="1985" w:type="dxa"/>
                  <w:hideMark/>
                </w:tcPr>
                <w:p w14:paraId="0A5D6CF7" w14:textId="77777777" w:rsidR="00447029" w:rsidRPr="002E4D67" w:rsidRDefault="00447029" w:rsidP="00447029">
                  <w:pPr>
                    <w:rPr>
                      <w:rFonts w:cstheme="minorHAnsi"/>
                      <w:lang w:val="en-US"/>
                    </w:rPr>
                  </w:pPr>
                  <w:r w:rsidRPr="002E4D67">
                    <w:rPr>
                      <w:rFonts w:cstheme="minorHAnsi"/>
                      <w:lang w:val="en-US"/>
                    </w:rPr>
                    <w:t>Responsible for token issuance, administration, smart contract deployment, and operation of the WYND service ecosystem.</w:t>
                  </w:r>
                </w:p>
              </w:tc>
            </w:tr>
            <w:tr w:rsidR="00447029" w:rsidRPr="002E4D67" w14:paraId="2A7C11EC" w14:textId="77777777" w:rsidTr="00B115C4">
              <w:trPr>
                <w:tblCellSpacing w:w="15" w:type="dxa"/>
              </w:trPr>
              <w:tc>
                <w:tcPr>
                  <w:tcW w:w="1115" w:type="dxa"/>
                  <w:hideMark/>
                </w:tcPr>
                <w:p w14:paraId="0C24F849" w14:textId="77777777" w:rsidR="00447029" w:rsidRPr="002E4D67" w:rsidRDefault="00447029" w:rsidP="00447029">
                  <w:pPr>
                    <w:rPr>
                      <w:rFonts w:cstheme="minorHAnsi"/>
                      <w:lang w:val="en-US"/>
                    </w:rPr>
                  </w:pPr>
                  <w:r w:rsidRPr="002E4D67">
                    <w:rPr>
                      <w:rStyle w:val="Fett"/>
                      <w:rFonts w:cstheme="minorHAnsi"/>
                      <w:lang w:val="en-US"/>
                    </w:rPr>
                    <w:t>MD Capital GmbH</w:t>
                  </w:r>
                </w:p>
              </w:tc>
              <w:tc>
                <w:tcPr>
                  <w:tcW w:w="1388" w:type="dxa"/>
                  <w:hideMark/>
                </w:tcPr>
                <w:p w14:paraId="0155B8A1" w14:textId="77777777" w:rsidR="00447029" w:rsidRPr="002E4D67" w:rsidRDefault="00447029" w:rsidP="00447029">
                  <w:pPr>
                    <w:rPr>
                      <w:rFonts w:cstheme="minorHAnsi"/>
                      <w:lang w:val="en-US"/>
                    </w:rPr>
                  </w:pPr>
                  <w:r w:rsidRPr="002E4D67">
                    <w:rPr>
                      <w:rFonts w:cstheme="minorHAnsi"/>
                      <w:lang w:val="en-US"/>
                    </w:rPr>
                    <w:t>Parent company / Strategic &amp; Asset Financing Entity</w:t>
                  </w:r>
                </w:p>
              </w:tc>
              <w:tc>
                <w:tcPr>
                  <w:tcW w:w="1483" w:type="dxa"/>
                  <w:hideMark/>
                </w:tcPr>
                <w:p w14:paraId="50989D21" w14:textId="77777777" w:rsidR="00447029" w:rsidRPr="002E4D67" w:rsidRDefault="00447029" w:rsidP="00447029">
                  <w:pPr>
                    <w:rPr>
                      <w:rFonts w:cstheme="minorHAnsi"/>
                      <w:lang w:val="en-US"/>
                    </w:rPr>
                  </w:pPr>
                  <w:r w:rsidRPr="002E4D67">
                    <w:rPr>
                      <w:rFonts w:cstheme="minorHAnsi"/>
                      <w:lang w:val="en-US"/>
                    </w:rPr>
                    <w:t>Schöne Aussicht 24, 22085 Hamburg, Germany</w:t>
                  </w:r>
                </w:p>
              </w:tc>
              <w:tc>
                <w:tcPr>
                  <w:tcW w:w="1985" w:type="dxa"/>
                  <w:hideMark/>
                </w:tcPr>
                <w:p w14:paraId="09D0CE03" w14:textId="77777777" w:rsidR="00447029" w:rsidRPr="002E4D67" w:rsidRDefault="00447029" w:rsidP="00447029">
                  <w:pPr>
                    <w:rPr>
                      <w:rFonts w:cstheme="minorHAnsi"/>
                      <w:lang w:val="en-US"/>
                    </w:rPr>
                  </w:pPr>
                  <w:r w:rsidRPr="002E4D67">
                    <w:rPr>
                      <w:rFonts w:cstheme="minorHAnsi"/>
                      <w:lang w:val="en-US"/>
                    </w:rPr>
                    <w:t>Provides corporate governance, strategic oversight, financial support, and management of underlying real-world assets related to the WYND ecosystem.</w:t>
                  </w:r>
                </w:p>
              </w:tc>
            </w:tr>
            <w:tr w:rsidR="00447029" w:rsidRPr="002E4D67" w14:paraId="5505BF94" w14:textId="77777777" w:rsidTr="00B115C4">
              <w:trPr>
                <w:tblCellSpacing w:w="15" w:type="dxa"/>
              </w:trPr>
              <w:tc>
                <w:tcPr>
                  <w:tcW w:w="1115" w:type="dxa"/>
                  <w:hideMark/>
                </w:tcPr>
                <w:p w14:paraId="74C8537D" w14:textId="77777777" w:rsidR="00447029" w:rsidRPr="002E4D67" w:rsidRDefault="00447029" w:rsidP="00447029">
                  <w:pPr>
                    <w:rPr>
                      <w:rFonts w:cstheme="minorHAnsi"/>
                      <w:lang w:val="en-US"/>
                    </w:rPr>
                  </w:pPr>
                  <w:r w:rsidRPr="002E4D67">
                    <w:rPr>
                      <w:rStyle w:val="Fett"/>
                      <w:rFonts w:cstheme="minorHAnsi"/>
                      <w:lang w:val="en-US"/>
                    </w:rPr>
                    <w:t>Dennis Monner</w:t>
                  </w:r>
                </w:p>
              </w:tc>
              <w:tc>
                <w:tcPr>
                  <w:tcW w:w="1388" w:type="dxa"/>
                  <w:hideMark/>
                </w:tcPr>
                <w:p w14:paraId="4437CA90" w14:textId="77777777" w:rsidR="00447029" w:rsidRPr="002E4D67" w:rsidRDefault="00447029" w:rsidP="00447029">
                  <w:pPr>
                    <w:rPr>
                      <w:rFonts w:cstheme="minorHAnsi"/>
                      <w:lang w:val="en-US"/>
                    </w:rPr>
                  </w:pPr>
                  <w:r w:rsidRPr="002E4D67">
                    <w:rPr>
                      <w:rFonts w:cstheme="minorHAnsi"/>
                      <w:lang w:val="en-US"/>
                    </w:rPr>
                    <w:t>Founder &amp; Managing Director</w:t>
                  </w:r>
                </w:p>
              </w:tc>
              <w:tc>
                <w:tcPr>
                  <w:tcW w:w="1483" w:type="dxa"/>
                  <w:hideMark/>
                </w:tcPr>
                <w:p w14:paraId="2B62BC39" w14:textId="77777777" w:rsidR="00447029" w:rsidRPr="002E4D67" w:rsidRDefault="00447029" w:rsidP="00447029">
                  <w:pPr>
                    <w:rPr>
                      <w:rFonts w:cstheme="minorHAnsi"/>
                      <w:lang w:val="en-US"/>
                    </w:rPr>
                  </w:pPr>
                  <w:r w:rsidRPr="002E4D67">
                    <w:rPr>
                      <w:rFonts w:cstheme="minorHAnsi"/>
                      <w:lang w:val="en-US"/>
                    </w:rPr>
                    <w:t>Hamburg, Germany</w:t>
                  </w:r>
                </w:p>
              </w:tc>
              <w:tc>
                <w:tcPr>
                  <w:tcW w:w="1985" w:type="dxa"/>
                  <w:hideMark/>
                </w:tcPr>
                <w:p w14:paraId="05DB9C3F" w14:textId="77777777" w:rsidR="00447029" w:rsidRPr="002E4D67" w:rsidRDefault="00447029" w:rsidP="00447029">
                  <w:pPr>
                    <w:rPr>
                      <w:rFonts w:cstheme="minorHAnsi"/>
                      <w:lang w:val="en-US"/>
                    </w:rPr>
                  </w:pPr>
                  <w:r w:rsidRPr="002E4D67">
                    <w:rPr>
                      <w:rFonts w:cstheme="minorHAnsi"/>
                      <w:lang w:val="en-US"/>
                    </w:rPr>
                    <w:t>Oversees overall project direction, strategic planning, operational execution, and regulatory compliance of the token issuance.</w:t>
                  </w:r>
                </w:p>
              </w:tc>
            </w:tr>
            <w:tr w:rsidR="00447029" w:rsidRPr="002E4D67" w14:paraId="3B7D9C0F" w14:textId="77777777" w:rsidTr="00B115C4">
              <w:trPr>
                <w:tblCellSpacing w:w="15" w:type="dxa"/>
              </w:trPr>
              <w:tc>
                <w:tcPr>
                  <w:tcW w:w="1115" w:type="dxa"/>
                  <w:hideMark/>
                </w:tcPr>
                <w:p w14:paraId="58936E6D" w14:textId="77777777" w:rsidR="00447029" w:rsidRPr="002E4D67" w:rsidRDefault="00447029" w:rsidP="00447029">
                  <w:pPr>
                    <w:rPr>
                      <w:rFonts w:cstheme="minorHAnsi"/>
                      <w:lang w:val="en-US"/>
                    </w:rPr>
                  </w:pPr>
                  <w:r w:rsidRPr="002E4D67">
                    <w:rPr>
                      <w:rStyle w:val="Fett"/>
                      <w:rFonts w:cstheme="minorHAnsi"/>
                      <w:lang w:val="en-US"/>
                    </w:rPr>
                    <w:t>Bitbond GmbH</w:t>
                  </w:r>
                </w:p>
              </w:tc>
              <w:tc>
                <w:tcPr>
                  <w:tcW w:w="1388" w:type="dxa"/>
                  <w:hideMark/>
                </w:tcPr>
                <w:p w14:paraId="2B002763" w14:textId="77777777" w:rsidR="00447029" w:rsidRPr="002E4D67" w:rsidRDefault="00447029" w:rsidP="00447029">
                  <w:pPr>
                    <w:rPr>
                      <w:rFonts w:cstheme="minorHAnsi"/>
                      <w:lang w:val="en-US"/>
                    </w:rPr>
                  </w:pPr>
                  <w:r w:rsidRPr="002E4D67">
                    <w:rPr>
                      <w:rFonts w:cstheme="minorHAnsi"/>
                      <w:lang w:val="en-US"/>
                    </w:rPr>
                    <w:t>Technical Service Provider / Token Issuance Platform</w:t>
                  </w:r>
                </w:p>
              </w:tc>
              <w:tc>
                <w:tcPr>
                  <w:tcW w:w="1483" w:type="dxa"/>
                  <w:hideMark/>
                </w:tcPr>
                <w:p w14:paraId="3FF3C7FF" w14:textId="77777777" w:rsidR="00447029" w:rsidRPr="002E4D67" w:rsidRDefault="00447029" w:rsidP="00447029">
                  <w:pPr>
                    <w:rPr>
                      <w:rFonts w:cstheme="minorHAnsi"/>
                      <w:lang w:val="en-US"/>
                    </w:rPr>
                  </w:pPr>
                  <w:r w:rsidRPr="002E4D67">
                    <w:rPr>
                      <w:rFonts w:cstheme="minorHAnsi"/>
                      <w:lang w:val="en-US"/>
                    </w:rPr>
                    <w:t>Lützowstraße 102–104, 10785 Berlin, Germany</w:t>
                  </w:r>
                </w:p>
              </w:tc>
              <w:tc>
                <w:tcPr>
                  <w:tcW w:w="1985" w:type="dxa"/>
                  <w:hideMark/>
                </w:tcPr>
                <w:p w14:paraId="064C62F9" w14:textId="77777777" w:rsidR="00447029" w:rsidRPr="002E4D67" w:rsidRDefault="00447029" w:rsidP="00447029">
                  <w:pPr>
                    <w:rPr>
                      <w:rFonts w:cstheme="minorHAnsi"/>
                      <w:lang w:val="en-US"/>
                    </w:rPr>
                  </w:pPr>
                  <w:r w:rsidRPr="002E4D67">
                    <w:rPr>
                      <w:rFonts w:cstheme="minorHAnsi"/>
                      <w:lang w:val="en-US"/>
                    </w:rPr>
                    <w:t>Provides the regulated MiCAR-compliant issuance platform, including investor onboarding, KYC/AML functionality, and technical deployment of the $WYND smart contract.</w:t>
                  </w:r>
                </w:p>
              </w:tc>
            </w:tr>
            <w:tr w:rsidR="00447029" w:rsidRPr="002E4D67" w14:paraId="2618269B" w14:textId="77777777" w:rsidTr="00B115C4">
              <w:trPr>
                <w:tblCellSpacing w:w="15" w:type="dxa"/>
              </w:trPr>
              <w:tc>
                <w:tcPr>
                  <w:tcW w:w="1115" w:type="dxa"/>
                  <w:hideMark/>
                </w:tcPr>
                <w:p w14:paraId="5CD8CEBA" w14:textId="77777777" w:rsidR="00447029" w:rsidRPr="002E4D67" w:rsidRDefault="00447029" w:rsidP="00447029">
                  <w:pPr>
                    <w:rPr>
                      <w:rFonts w:cstheme="minorHAnsi"/>
                      <w:lang w:val="en-US"/>
                    </w:rPr>
                  </w:pPr>
                  <w:r w:rsidRPr="002E4D67">
                    <w:rPr>
                      <w:rStyle w:val="Fett"/>
                      <w:rFonts w:cstheme="minorHAnsi"/>
                      <w:lang w:val="en-US"/>
                    </w:rPr>
                    <w:lastRenderedPageBreak/>
                    <w:t>External Blockchain Auditor</w:t>
                  </w:r>
                  <w:r w:rsidRPr="002E4D67">
                    <w:rPr>
                      <w:rFonts w:cstheme="minorHAnsi"/>
                      <w:lang w:val="en-US"/>
                    </w:rPr>
                    <w:t xml:space="preserve"> </w:t>
                  </w:r>
                  <w:r w:rsidRPr="002E4D67">
                    <w:rPr>
                      <w:rStyle w:val="Hervorhebung"/>
                      <w:rFonts w:cstheme="minorHAnsi"/>
                      <w:lang w:val="en-US"/>
                    </w:rPr>
                    <w:t>(to be appointed before TGE)</w:t>
                  </w:r>
                </w:p>
              </w:tc>
              <w:tc>
                <w:tcPr>
                  <w:tcW w:w="1388" w:type="dxa"/>
                  <w:hideMark/>
                </w:tcPr>
                <w:p w14:paraId="047FA943" w14:textId="77777777" w:rsidR="00447029" w:rsidRPr="002E4D67" w:rsidRDefault="00447029" w:rsidP="00447029">
                  <w:pPr>
                    <w:rPr>
                      <w:rFonts w:cstheme="minorHAnsi"/>
                      <w:lang w:val="en-US"/>
                    </w:rPr>
                  </w:pPr>
                  <w:r w:rsidRPr="002E4D67">
                    <w:rPr>
                      <w:rFonts w:cstheme="minorHAnsi"/>
                      <w:lang w:val="en-US"/>
                    </w:rPr>
                    <w:t>Smart Contract Audit</w:t>
                  </w:r>
                </w:p>
              </w:tc>
              <w:tc>
                <w:tcPr>
                  <w:tcW w:w="1483" w:type="dxa"/>
                  <w:hideMark/>
                </w:tcPr>
                <w:p w14:paraId="308D3433" w14:textId="77777777" w:rsidR="00447029" w:rsidRPr="002E4D67" w:rsidRDefault="00447029" w:rsidP="00447029">
                  <w:pPr>
                    <w:rPr>
                      <w:rFonts w:cstheme="minorHAnsi"/>
                      <w:lang w:val="en-US"/>
                    </w:rPr>
                  </w:pPr>
                  <w:r w:rsidRPr="002E4D67">
                    <w:rPr>
                      <w:rFonts w:cstheme="minorHAnsi"/>
                      <w:lang w:val="en-US"/>
                    </w:rPr>
                    <w:t>(TBD)</w:t>
                  </w:r>
                </w:p>
              </w:tc>
              <w:tc>
                <w:tcPr>
                  <w:tcW w:w="1985" w:type="dxa"/>
                  <w:hideMark/>
                </w:tcPr>
                <w:p w14:paraId="34185F98" w14:textId="77777777" w:rsidR="00447029" w:rsidRPr="002E4D67" w:rsidRDefault="00447029" w:rsidP="00447029">
                  <w:pPr>
                    <w:rPr>
                      <w:rFonts w:cstheme="minorHAnsi"/>
                      <w:lang w:val="en-US"/>
                    </w:rPr>
                  </w:pPr>
                  <w:r w:rsidRPr="002E4D67">
                    <w:rPr>
                      <w:rFonts w:cstheme="minorHAnsi"/>
                      <w:lang w:val="en-US"/>
                    </w:rPr>
                    <w:t>Conducts an independent security audit of the ERC-20 smart contract, including review of mint/burn logic, staking lock-up behavior, and access control.</w:t>
                  </w:r>
                </w:p>
              </w:tc>
            </w:tr>
            <w:tr w:rsidR="00447029" w:rsidRPr="002E4D67" w14:paraId="4AF73DB6" w14:textId="77777777" w:rsidTr="00B115C4">
              <w:trPr>
                <w:tblCellSpacing w:w="15" w:type="dxa"/>
              </w:trPr>
              <w:tc>
                <w:tcPr>
                  <w:tcW w:w="1115" w:type="dxa"/>
                  <w:hideMark/>
                </w:tcPr>
                <w:p w14:paraId="078DE0BA" w14:textId="77777777" w:rsidR="00447029" w:rsidRPr="002E4D67" w:rsidRDefault="00447029" w:rsidP="00447029">
                  <w:pPr>
                    <w:rPr>
                      <w:rFonts w:cstheme="minorHAnsi"/>
                      <w:lang w:val="en-US"/>
                    </w:rPr>
                  </w:pPr>
                  <w:r w:rsidRPr="002E4D67">
                    <w:rPr>
                      <w:rStyle w:val="Fett"/>
                      <w:rFonts w:cstheme="minorHAnsi"/>
                      <w:lang w:val="en-US"/>
                    </w:rPr>
                    <w:t>External Marketing &amp; Design Partners</w:t>
                  </w:r>
                </w:p>
              </w:tc>
              <w:tc>
                <w:tcPr>
                  <w:tcW w:w="1388" w:type="dxa"/>
                  <w:hideMark/>
                </w:tcPr>
                <w:p w14:paraId="68F2FFEE" w14:textId="77777777" w:rsidR="00447029" w:rsidRPr="002E4D67" w:rsidRDefault="00447029" w:rsidP="00447029">
                  <w:pPr>
                    <w:rPr>
                      <w:rFonts w:cstheme="minorHAnsi"/>
                      <w:lang w:val="en-US"/>
                    </w:rPr>
                  </w:pPr>
                  <w:r w:rsidRPr="002E4D67">
                    <w:rPr>
                      <w:rFonts w:cstheme="minorHAnsi"/>
                      <w:lang w:val="en-US"/>
                    </w:rPr>
                    <w:t>Branding, Communication &amp; Digital Design</w:t>
                  </w:r>
                </w:p>
              </w:tc>
              <w:tc>
                <w:tcPr>
                  <w:tcW w:w="1483" w:type="dxa"/>
                  <w:hideMark/>
                </w:tcPr>
                <w:p w14:paraId="4D514EC9" w14:textId="77777777" w:rsidR="00447029" w:rsidRPr="002E4D67" w:rsidRDefault="00447029" w:rsidP="00447029">
                  <w:pPr>
                    <w:rPr>
                      <w:rFonts w:cstheme="minorHAnsi"/>
                      <w:lang w:val="en-US"/>
                    </w:rPr>
                  </w:pPr>
                  <w:r w:rsidRPr="002E4D67">
                    <w:rPr>
                      <w:rFonts w:cstheme="minorHAnsi"/>
                      <w:lang w:val="en-US"/>
                    </w:rPr>
                    <w:t>Various EU locations</w:t>
                  </w:r>
                </w:p>
              </w:tc>
              <w:tc>
                <w:tcPr>
                  <w:tcW w:w="1985" w:type="dxa"/>
                  <w:hideMark/>
                </w:tcPr>
                <w:p w14:paraId="4348627D" w14:textId="77777777" w:rsidR="00447029" w:rsidRPr="002E4D67" w:rsidRDefault="00447029" w:rsidP="00447029">
                  <w:pPr>
                    <w:rPr>
                      <w:rFonts w:cstheme="minorHAnsi"/>
                      <w:lang w:val="en-US"/>
                    </w:rPr>
                  </w:pPr>
                  <w:r w:rsidRPr="002E4D67">
                    <w:rPr>
                      <w:rFonts w:cstheme="minorHAnsi"/>
                      <w:lang w:val="en-US"/>
                    </w:rPr>
                    <w:t>Support the creation of digital assets, website content, investor documentation, and public communication materials.</w:t>
                  </w:r>
                </w:p>
              </w:tc>
            </w:tr>
          </w:tbl>
          <w:p w14:paraId="4BC57CC6" w14:textId="77777777" w:rsidR="00B115C4" w:rsidRPr="002E4D67" w:rsidRDefault="00B115C4" w:rsidP="00447029">
            <w:pPr>
              <w:pStyle w:val="StandardWeb"/>
              <w:rPr>
                <w:rStyle w:val="Fett"/>
                <w:rFonts w:cstheme="minorHAnsi"/>
                <w:szCs w:val="20"/>
                <w:lang w:val="en-US"/>
              </w:rPr>
            </w:pPr>
          </w:p>
          <w:p w14:paraId="53A0BB05" w14:textId="4D04C9FB" w:rsidR="00447029" w:rsidRPr="002E4D67" w:rsidRDefault="00447029" w:rsidP="00447029">
            <w:pPr>
              <w:pStyle w:val="StandardWeb"/>
              <w:rPr>
                <w:rFonts w:cstheme="minorHAnsi"/>
                <w:szCs w:val="20"/>
                <w:lang w:val="en-US"/>
              </w:rPr>
            </w:pPr>
            <w:r w:rsidRPr="002E4D67">
              <w:rPr>
                <w:rStyle w:val="Fett"/>
                <w:rFonts w:cstheme="minorHAnsi"/>
                <w:szCs w:val="20"/>
                <w:lang w:val="en-US"/>
              </w:rPr>
              <w:t>Explanatory Note:</w:t>
            </w:r>
          </w:p>
          <w:p w14:paraId="58339EFC" w14:textId="77777777" w:rsidR="00447029" w:rsidRPr="002E4D67" w:rsidRDefault="00447029" w:rsidP="00447029">
            <w:pPr>
              <w:pStyle w:val="StandardWeb"/>
              <w:numPr>
                <w:ilvl w:val="0"/>
                <w:numId w:val="32"/>
              </w:numPr>
              <w:overflowPunct/>
              <w:autoSpaceDE/>
              <w:autoSpaceDN/>
              <w:adjustRightInd/>
              <w:spacing w:before="100" w:beforeAutospacing="1" w:after="100" w:afterAutospacing="1" w:line="240" w:lineRule="auto"/>
              <w:textAlignment w:val="auto"/>
              <w:rPr>
                <w:rFonts w:cstheme="minorHAnsi"/>
                <w:szCs w:val="20"/>
                <w:lang w:val="en-US"/>
              </w:rPr>
            </w:pPr>
            <w:r w:rsidRPr="002E4D67">
              <w:rPr>
                <w:rFonts w:cstheme="minorHAnsi"/>
                <w:szCs w:val="20"/>
                <w:lang w:val="en-US"/>
              </w:rPr>
              <w:t xml:space="preserve">All listed parties act under </w:t>
            </w:r>
            <w:r w:rsidRPr="002E4D67">
              <w:rPr>
                <w:rStyle w:val="Fett"/>
                <w:rFonts w:cstheme="minorHAnsi"/>
                <w:szCs w:val="20"/>
                <w:lang w:val="en-US"/>
              </w:rPr>
              <w:t>written service agreements</w:t>
            </w:r>
            <w:r w:rsidRPr="002E4D67">
              <w:rPr>
                <w:rFonts w:cstheme="minorHAnsi"/>
                <w:szCs w:val="20"/>
                <w:lang w:val="en-US"/>
              </w:rPr>
              <w:t xml:space="preserve"> with WYND Capital GmbH.</w:t>
            </w:r>
          </w:p>
          <w:p w14:paraId="4F67002A" w14:textId="77777777" w:rsidR="00447029" w:rsidRPr="002E4D67" w:rsidRDefault="00447029" w:rsidP="00447029">
            <w:pPr>
              <w:pStyle w:val="StandardWeb"/>
              <w:numPr>
                <w:ilvl w:val="0"/>
                <w:numId w:val="32"/>
              </w:numPr>
              <w:overflowPunct/>
              <w:autoSpaceDE/>
              <w:autoSpaceDN/>
              <w:adjustRightInd/>
              <w:spacing w:before="100" w:beforeAutospacing="1" w:after="100" w:afterAutospacing="1" w:line="240" w:lineRule="auto"/>
              <w:textAlignment w:val="auto"/>
              <w:rPr>
                <w:rFonts w:cstheme="minorHAnsi"/>
                <w:szCs w:val="20"/>
                <w:lang w:val="en-US"/>
              </w:rPr>
            </w:pPr>
            <w:r w:rsidRPr="002E4D67">
              <w:rPr>
                <w:rFonts w:cstheme="minorHAnsi"/>
                <w:szCs w:val="20"/>
                <w:lang w:val="en-US"/>
              </w:rPr>
              <w:t xml:space="preserve">None of the parties hold </w:t>
            </w:r>
            <w:r w:rsidRPr="002E4D67">
              <w:rPr>
                <w:rStyle w:val="Fett"/>
                <w:rFonts w:cstheme="minorHAnsi"/>
                <w:szCs w:val="20"/>
                <w:lang w:val="en-US"/>
              </w:rPr>
              <w:t>equity, governance rights, or profit participation</w:t>
            </w:r>
            <w:r w:rsidRPr="002E4D67">
              <w:rPr>
                <w:rFonts w:cstheme="minorHAnsi"/>
                <w:szCs w:val="20"/>
                <w:lang w:val="en-US"/>
              </w:rPr>
              <w:t xml:space="preserve"> in WYND Capital GmbH or the WYND Utility Token.</w:t>
            </w:r>
          </w:p>
          <w:p w14:paraId="3D7E2433" w14:textId="77777777" w:rsidR="00447029" w:rsidRPr="002E4D67" w:rsidRDefault="00447029" w:rsidP="00447029">
            <w:pPr>
              <w:pStyle w:val="StandardWeb"/>
              <w:numPr>
                <w:ilvl w:val="0"/>
                <w:numId w:val="32"/>
              </w:numPr>
              <w:overflowPunct/>
              <w:autoSpaceDE/>
              <w:autoSpaceDN/>
              <w:adjustRightInd/>
              <w:spacing w:before="100" w:beforeAutospacing="1" w:after="100" w:afterAutospacing="1" w:line="240" w:lineRule="auto"/>
              <w:textAlignment w:val="auto"/>
              <w:rPr>
                <w:rFonts w:cstheme="minorHAnsi"/>
                <w:szCs w:val="20"/>
                <w:lang w:val="en-US"/>
              </w:rPr>
            </w:pPr>
            <w:r w:rsidRPr="002E4D67">
              <w:rPr>
                <w:rFonts w:cstheme="minorHAnsi"/>
                <w:szCs w:val="20"/>
                <w:lang w:val="en-US"/>
              </w:rPr>
              <w:t xml:space="preserve">No listed party has </w:t>
            </w:r>
            <w:r w:rsidRPr="002E4D67">
              <w:rPr>
                <w:rStyle w:val="Fett"/>
                <w:rFonts w:cstheme="minorHAnsi"/>
                <w:szCs w:val="20"/>
                <w:lang w:val="en-US"/>
              </w:rPr>
              <w:t>control</w:t>
            </w:r>
            <w:r w:rsidRPr="002E4D67">
              <w:rPr>
                <w:rFonts w:cstheme="minorHAnsi"/>
                <w:szCs w:val="20"/>
                <w:lang w:val="en-US"/>
              </w:rPr>
              <w:t xml:space="preserve"> over token supply, token pricing, or issuance conditions.</w:t>
            </w:r>
          </w:p>
          <w:p w14:paraId="2B3F834F" w14:textId="77777777" w:rsidR="00447029" w:rsidRPr="002E4D67" w:rsidRDefault="00447029" w:rsidP="00447029">
            <w:pPr>
              <w:pStyle w:val="StandardWeb"/>
              <w:numPr>
                <w:ilvl w:val="0"/>
                <w:numId w:val="32"/>
              </w:numPr>
              <w:overflowPunct/>
              <w:autoSpaceDE/>
              <w:autoSpaceDN/>
              <w:adjustRightInd/>
              <w:spacing w:before="100" w:beforeAutospacing="1" w:after="100" w:afterAutospacing="1" w:line="240" w:lineRule="auto"/>
              <w:textAlignment w:val="auto"/>
              <w:rPr>
                <w:rStyle w:val="Fett"/>
                <w:rFonts w:cstheme="minorHAnsi"/>
                <w:b w:val="0"/>
                <w:bCs w:val="0"/>
                <w:szCs w:val="20"/>
                <w:lang w:val="en-US"/>
              </w:rPr>
            </w:pPr>
            <w:r w:rsidRPr="002E4D67">
              <w:rPr>
                <w:rFonts w:cstheme="minorHAnsi"/>
                <w:szCs w:val="20"/>
                <w:lang w:val="en-US"/>
              </w:rPr>
              <w:t xml:space="preserve">Any additional service providers involved prior to the public offering or Token Generation Event (TGE) will be </w:t>
            </w:r>
            <w:r w:rsidRPr="002E4D67">
              <w:rPr>
                <w:rStyle w:val="Fett"/>
                <w:rFonts w:cstheme="minorHAnsi"/>
                <w:szCs w:val="20"/>
                <w:lang w:val="en-US"/>
              </w:rPr>
              <w:t>disclosed to BaFin</w:t>
            </w:r>
            <w:r w:rsidRPr="002E4D67">
              <w:rPr>
                <w:rFonts w:cstheme="minorHAnsi"/>
                <w:szCs w:val="20"/>
                <w:lang w:val="en-US"/>
              </w:rPr>
              <w:t>.</w:t>
            </w:r>
          </w:p>
          <w:p w14:paraId="29358C51" w14:textId="6C0FE8CE" w:rsidR="00447029" w:rsidRPr="002E4D67" w:rsidRDefault="00447029" w:rsidP="00447029">
            <w:pPr>
              <w:pStyle w:val="Textkrper"/>
              <w:rPr>
                <w:rFonts w:cstheme="minorHAnsi"/>
                <w:lang w:val="en-US"/>
              </w:rPr>
            </w:pPr>
          </w:p>
        </w:tc>
      </w:tr>
      <w:tr w:rsidR="00447029" w:rsidRPr="002E4D67" w14:paraId="0C226649" w14:textId="77777777" w:rsidTr="00D64090">
        <w:tc>
          <w:tcPr>
            <w:tcW w:w="1985" w:type="dxa"/>
          </w:tcPr>
          <w:p w14:paraId="71049AD7" w14:textId="7B02B650" w:rsidR="00447029" w:rsidRPr="002E4D67" w:rsidRDefault="00447029" w:rsidP="00447029">
            <w:pPr>
              <w:pStyle w:val="berschrift1"/>
              <w:keepNext w:val="0"/>
              <w:keepLines w:val="0"/>
              <w:rPr>
                <w:lang w:val="en-US"/>
              </w:rPr>
            </w:pPr>
            <w:bookmarkStart w:id="118" w:name="_Toc212017863"/>
            <w:bookmarkStart w:id="119" w:name="_Toc213164151"/>
            <w:bookmarkStart w:id="120" w:name="_Toc213179138"/>
            <w:r w:rsidRPr="002E4D67">
              <w:rPr>
                <w:lang w:val="en-US"/>
              </w:rPr>
              <w:lastRenderedPageBreak/>
              <w:t>D.6 Utility Token Classification</w:t>
            </w:r>
            <w:bookmarkEnd w:id="118"/>
            <w:bookmarkEnd w:id="119"/>
            <w:bookmarkEnd w:id="120"/>
          </w:p>
        </w:tc>
        <w:tc>
          <w:tcPr>
            <w:tcW w:w="6371" w:type="dxa"/>
          </w:tcPr>
          <w:p w14:paraId="26B86C60" w14:textId="7099C43D" w:rsidR="00447029" w:rsidRPr="002E4D67" w:rsidRDefault="00447029" w:rsidP="00447029">
            <w:pPr>
              <w:pStyle w:val="Textkrper"/>
              <w:rPr>
                <w:rFonts w:cstheme="minorHAnsi"/>
                <w:lang w:val="en-US"/>
              </w:rPr>
            </w:pPr>
            <w:r w:rsidRPr="002E4D67">
              <w:rPr>
                <w:rFonts w:cstheme="minorHAnsi"/>
                <w:lang w:val="en-US"/>
              </w:rPr>
              <w:t xml:space="preserve">True. </w:t>
            </w:r>
          </w:p>
        </w:tc>
      </w:tr>
      <w:tr w:rsidR="00447029" w:rsidRPr="002E4D67" w14:paraId="22DB887B" w14:textId="77777777" w:rsidTr="00D64090">
        <w:tc>
          <w:tcPr>
            <w:tcW w:w="1985" w:type="dxa"/>
          </w:tcPr>
          <w:p w14:paraId="7BE3AE73" w14:textId="07CB2D74" w:rsidR="00447029" w:rsidRPr="002E4D67" w:rsidRDefault="00447029" w:rsidP="00447029">
            <w:pPr>
              <w:pStyle w:val="berschrift1"/>
              <w:keepNext w:val="0"/>
              <w:keepLines w:val="0"/>
              <w:rPr>
                <w:lang w:val="en-US"/>
              </w:rPr>
            </w:pPr>
            <w:bookmarkStart w:id="121" w:name="_Toc212017865"/>
            <w:bookmarkStart w:id="122" w:name="_Toc213164152"/>
            <w:bookmarkStart w:id="123" w:name="_Toc213179139"/>
            <w:r w:rsidRPr="002E4D67">
              <w:rPr>
                <w:lang w:val="en-US"/>
              </w:rPr>
              <w:t>D.7 Key Features of Goods/Services for Utility Token Projects</w:t>
            </w:r>
            <w:bookmarkEnd w:id="121"/>
            <w:bookmarkEnd w:id="122"/>
            <w:bookmarkEnd w:id="123"/>
          </w:p>
        </w:tc>
        <w:tc>
          <w:tcPr>
            <w:tcW w:w="6371" w:type="dxa"/>
          </w:tcPr>
          <w:p w14:paraId="297CF53E" w14:textId="77777777" w:rsidR="00B115C4" w:rsidRPr="002E4D67" w:rsidRDefault="00447029" w:rsidP="00B115C4">
            <w:pPr>
              <w:pStyle w:val="Textkrper"/>
              <w:jc w:val="left"/>
              <w:rPr>
                <w:shd w:val="clear" w:color="auto" w:fill="FFFFFF"/>
                <w:lang w:val="en-US"/>
              </w:rPr>
            </w:pPr>
            <w:r w:rsidRPr="002E4D67">
              <w:rPr>
                <w:shd w:val="clear" w:color="auto" w:fill="FFFFFF"/>
                <w:lang w:val="en-US"/>
              </w:rPr>
              <w:t>The WYND Utility Token ($WYND) provides digital access rights to the WYND ecosystem. Core features include:</w:t>
            </w:r>
            <w:r w:rsidRPr="002E4D67">
              <w:rPr>
                <w:lang w:val="en-US"/>
              </w:rPr>
              <w:br/>
            </w:r>
            <w:r w:rsidRPr="002E4D67">
              <w:rPr>
                <w:lang w:val="en-US"/>
              </w:rPr>
              <w:br/>
            </w:r>
            <w:r w:rsidRPr="002E4D67">
              <w:rPr>
                <w:shd w:val="clear" w:color="auto" w:fill="FFFFFF"/>
                <w:lang w:val="en-US"/>
              </w:rPr>
              <w:t>1. Luxury Travel &amp; Experiences</w:t>
            </w:r>
            <w:r w:rsidRPr="002E4D67">
              <w:rPr>
                <w:lang w:val="en-US"/>
              </w:rPr>
              <w:br/>
            </w:r>
            <w:r w:rsidRPr="002E4D67">
              <w:rPr>
                <w:lang w:val="en-US"/>
              </w:rPr>
              <w:br/>
            </w:r>
            <w:r w:rsidR="00B115C4" w:rsidRPr="002E4D67">
              <w:rPr>
                <w:shd w:val="clear" w:color="auto" w:fill="FFFFFF"/>
                <w:lang w:val="en-US"/>
              </w:rPr>
              <w:t xml:space="preserve">- </w:t>
            </w:r>
            <w:r w:rsidRPr="002E4D67">
              <w:rPr>
                <w:shd w:val="clear" w:color="auto" w:fill="FFFFFF"/>
                <w:lang w:val="en-US"/>
              </w:rPr>
              <w:t>WYND Discovery Weeks: Boutique yacht-style voyages in the Red Sea, up to 22 guests and 13 crew, available immediately.</w:t>
            </w:r>
            <w:r w:rsidRPr="002E4D67">
              <w:rPr>
                <w:lang w:val="en-US"/>
              </w:rPr>
              <w:br/>
            </w:r>
            <w:r w:rsidR="00B115C4" w:rsidRPr="002E4D67">
              <w:rPr>
                <w:shd w:val="clear" w:color="auto" w:fill="FFFFFF"/>
                <w:lang w:val="en-US"/>
              </w:rPr>
              <w:lastRenderedPageBreak/>
              <w:t>-</w:t>
            </w:r>
            <w:r w:rsidRPr="002E4D67">
              <w:rPr>
                <w:shd w:val="clear" w:color="auto" w:fill="FFFFFF"/>
                <w:lang w:val="en-US"/>
              </w:rPr>
              <w:t xml:space="preserve"> WYND Yacht (from 202</w:t>
            </w:r>
            <w:r w:rsidR="00B115C4" w:rsidRPr="002E4D67">
              <w:rPr>
                <w:shd w:val="clear" w:color="auto" w:fill="FFFFFF"/>
                <w:lang w:val="en-US"/>
              </w:rPr>
              <w:t>9</w:t>
            </w:r>
            <w:r w:rsidRPr="002E4D67">
              <w:rPr>
                <w:shd w:val="clear" w:color="auto" w:fill="FFFFFF"/>
                <w:lang w:val="en-US"/>
              </w:rPr>
              <w:t>): 52-meter superyacht with 12 guests / 11 crew, available for full charter, individual cabins, or curated community events.</w:t>
            </w:r>
            <w:r w:rsidRPr="002E4D67">
              <w:rPr>
                <w:lang w:val="en-US"/>
              </w:rPr>
              <w:br/>
            </w:r>
            <w:r w:rsidRPr="002E4D67">
              <w:rPr>
                <w:lang w:val="en-US"/>
              </w:rPr>
              <w:br/>
            </w:r>
            <w:r w:rsidRPr="002E4D67">
              <w:rPr>
                <w:shd w:val="clear" w:color="auto" w:fill="FFFFFF"/>
                <w:lang w:val="en-US"/>
              </w:rPr>
              <w:t>2. Lifestyle &amp; Community Services</w:t>
            </w:r>
            <w:r w:rsidRPr="002E4D67">
              <w:rPr>
                <w:lang w:val="en-US"/>
              </w:rPr>
              <w:br/>
            </w:r>
            <w:r w:rsidRPr="002E4D67">
              <w:rPr>
                <w:lang w:val="en-US"/>
              </w:rPr>
              <w:br/>
            </w:r>
            <w:r w:rsidR="00B115C4" w:rsidRPr="002E4D67">
              <w:rPr>
                <w:shd w:val="clear" w:color="auto" w:fill="FFFFFF"/>
                <w:lang w:val="en-US"/>
              </w:rPr>
              <w:t xml:space="preserve">- </w:t>
            </w:r>
            <w:r w:rsidRPr="002E4D67">
              <w:rPr>
                <w:shd w:val="clear" w:color="auto" w:fill="FFFFFF"/>
                <w:lang w:val="en-US"/>
              </w:rPr>
              <w:t>WYND Concierge &amp; Experiences: Access to exclusive lifestyle, business, and travel services.</w:t>
            </w:r>
            <w:r w:rsidRPr="002E4D67">
              <w:rPr>
                <w:lang w:val="en-US"/>
              </w:rPr>
              <w:br/>
            </w:r>
            <w:r w:rsidR="00B115C4" w:rsidRPr="002E4D67">
              <w:rPr>
                <w:lang w:val="en-US"/>
              </w:rPr>
              <w:t xml:space="preserve">- </w:t>
            </w:r>
            <w:r w:rsidRPr="002E4D67">
              <w:rPr>
                <w:shd w:val="clear" w:color="auto" w:fill="FFFFFF"/>
                <w:lang w:val="en-US"/>
              </w:rPr>
              <w:t>Future Services: WYND Jet &amp; Heli for private transfers and flight experiences.</w:t>
            </w:r>
            <w:r w:rsidRPr="002E4D67">
              <w:rPr>
                <w:lang w:val="en-US"/>
              </w:rPr>
              <w:br/>
            </w:r>
            <w:r w:rsidRPr="002E4D67">
              <w:rPr>
                <w:lang w:val="en-US"/>
              </w:rPr>
              <w:br/>
            </w:r>
            <w:r w:rsidRPr="002E4D67">
              <w:rPr>
                <w:shd w:val="clear" w:color="auto" w:fill="FFFFFF"/>
                <w:lang w:val="en-US"/>
              </w:rPr>
              <w:t>3. Token Utility Features</w:t>
            </w:r>
            <w:r w:rsidRPr="002E4D67">
              <w:rPr>
                <w:lang w:val="en-US"/>
              </w:rPr>
              <w:br/>
            </w:r>
            <w:r w:rsidRPr="002E4D67">
              <w:rPr>
                <w:lang w:val="en-US"/>
              </w:rPr>
              <w:br/>
            </w:r>
            <w:r w:rsidR="00B115C4" w:rsidRPr="002E4D67">
              <w:rPr>
                <w:shd w:val="clear" w:color="auto" w:fill="FFFFFF"/>
                <w:lang w:val="en-US"/>
              </w:rPr>
              <w:t xml:space="preserve">- </w:t>
            </w:r>
            <w:r w:rsidRPr="002E4D67">
              <w:rPr>
                <w:shd w:val="clear" w:color="auto" w:fill="FFFFFF"/>
                <w:lang w:val="en-US"/>
              </w:rPr>
              <w:t>15% discount on all bookings paid in $WYND compared to fiat.</w:t>
            </w:r>
            <w:r w:rsidRPr="002E4D67">
              <w:rPr>
                <w:lang w:val="en-US"/>
              </w:rPr>
              <w:br/>
            </w:r>
            <w:r w:rsidR="00B115C4" w:rsidRPr="002E4D67">
              <w:rPr>
                <w:lang w:val="en-US"/>
              </w:rPr>
              <w:t xml:space="preserve">- </w:t>
            </w:r>
            <w:r w:rsidRPr="002E4D67">
              <w:rPr>
                <w:shd w:val="clear" w:color="auto" w:fill="FFFFFF"/>
                <w:lang w:val="en-US"/>
              </w:rPr>
              <w:t>Conversion into Access Credits (AC) via the WYND Price Index (WPI), which aligns service prices with USD cost structures and token market value.</w:t>
            </w:r>
            <w:r w:rsidRPr="002E4D67">
              <w:rPr>
                <w:lang w:val="en-US"/>
              </w:rPr>
              <w:br/>
            </w:r>
            <w:r w:rsidRPr="002E4D67">
              <w:rPr>
                <w:lang w:val="en-US"/>
              </w:rPr>
              <w:br/>
            </w:r>
            <w:r w:rsidR="00B115C4" w:rsidRPr="002E4D67">
              <w:rPr>
                <w:shd w:val="clear" w:color="auto" w:fill="FFFFFF"/>
                <w:lang w:val="en-US"/>
              </w:rPr>
              <w:t xml:space="preserve">- </w:t>
            </w:r>
            <w:r w:rsidRPr="002E4D67">
              <w:rPr>
                <w:shd w:val="clear" w:color="auto" w:fill="FFFFFF"/>
                <w:lang w:val="en-US"/>
              </w:rPr>
              <w:t>Staking Mechanism: Tokens can be staked for 3–36 months to unlock higher membership tiers, early booking rights, and additional privileges.</w:t>
            </w:r>
            <w:r w:rsidRPr="002E4D67">
              <w:rPr>
                <w:lang w:val="en-US"/>
              </w:rPr>
              <w:br/>
            </w:r>
            <w:r w:rsidRPr="002E4D67">
              <w:rPr>
                <w:lang w:val="en-US"/>
              </w:rPr>
              <w:br/>
            </w:r>
            <w:r w:rsidRPr="002E4D67">
              <w:rPr>
                <w:shd w:val="clear" w:color="auto" w:fill="FFFFFF"/>
                <w:lang w:val="en-US"/>
              </w:rPr>
              <w:t>4. Restrictions on Transferability</w:t>
            </w:r>
            <w:r w:rsidRPr="002E4D67">
              <w:rPr>
                <w:lang w:val="en-US"/>
              </w:rPr>
              <w:br/>
            </w:r>
            <w:r w:rsidRPr="002E4D67">
              <w:rPr>
                <w:lang w:val="en-US"/>
              </w:rPr>
              <w:br/>
            </w:r>
            <w:r w:rsidR="00B115C4" w:rsidRPr="002E4D67">
              <w:rPr>
                <w:shd w:val="clear" w:color="auto" w:fill="FFFFFF"/>
                <w:lang w:val="en-US"/>
              </w:rPr>
              <w:t xml:space="preserve">- </w:t>
            </w:r>
            <w:r w:rsidRPr="002E4D67">
              <w:rPr>
                <w:shd w:val="clear" w:color="auto" w:fill="FFFFFF"/>
                <w:lang w:val="en-US"/>
              </w:rPr>
              <w:t>Tokens are freely transferable between eligible wallets, subject to KYC/AML compliance.</w:t>
            </w:r>
          </w:p>
          <w:p w14:paraId="68A87D4B" w14:textId="57C9517E" w:rsidR="00447029" w:rsidRPr="002E4D67" w:rsidRDefault="00B115C4" w:rsidP="00B115C4">
            <w:pPr>
              <w:pStyle w:val="Textkrper"/>
              <w:jc w:val="left"/>
              <w:rPr>
                <w:shd w:val="clear" w:color="auto" w:fill="FFFFFF"/>
                <w:lang w:val="en-US"/>
              </w:rPr>
            </w:pPr>
            <w:r w:rsidRPr="002E4D67">
              <w:rPr>
                <w:shd w:val="clear" w:color="auto" w:fill="FFFFFF"/>
                <w:lang w:val="en-US"/>
              </w:rPr>
              <w:t xml:space="preserve">- </w:t>
            </w:r>
            <w:r w:rsidR="00447029" w:rsidRPr="002E4D67">
              <w:rPr>
                <w:rFonts w:cstheme="minorHAnsi"/>
                <w:color w:val="222222"/>
                <w:shd w:val="clear" w:color="auto" w:fill="FFFFFF"/>
                <w:lang w:val="en-US"/>
              </w:rPr>
              <w:t>Staked tokens are non-transferable during lock-up.</w:t>
            </w:r>
            <w:r w:rsidR="00447029" w:rsidRPr="002E4D67">
              <w:rPr>
                <w:rFonts w:cstheme="minorHAnsi"/>
                <w:color w:val="222222"/>
                <w:lang w:val="en-US"/>
              </w:rPr>
              <w:br/>
            </w:r>
            <w:r w:rsidR="00447029" w:rsidRPr="002E4D67">
              <w:rPr>
                <w:rFonts w:cstheme="minorHAnsi"/>
                <w:color w:val="222222"/>
                <w:lang w:val="en-US"/>
              </w:rPr>
              <w:br/>
            </w:r>
            <w:r w:rsidR="00447029" w:rsidRPr="002E4D67">
              <w:rPr>
                <w:rFonts w:cstheme="minorHAnsi"/>
                <w:color w:val="222222"/>
                <w:shd w:val="clear" w:color="auto" w:fill="FFFFFF"/>
                <w:lang w:val="en-US"/>
              </w:rPr>
              <w:t>The WYND Utility Token is not a security or e-money. It represents a digital service and booking right that connects holders directly to real-world goods and services offered by WYND.</w:t>
            </w:r>
            <w:r w:rsidR="00447029" w:rsidRPr="002E4D67">
              <w:rPr>
                <w:rFonts w:cstheme="minorHAnsi"/>
                <w:color w:val="222222"/>
                <w:lang w:val="en-US"/>
              </w:rPr>
              <w:br/>
            </w:r>
          </w:p>
        </w:tc>
      </w:tr>
      <w:tr w:rsidR="00447029" w:rsidRPr="002E4D67" w14:paraId="22353D9F" w14:textId="77777777" w:rsidTr="00D64090">
        <w:tc>
          <w:tcPr>
            <w:tcW w:w="1985" w:type="dxa"/>
          </w:tcPr>
          <w:p w14:paraId="7EF4AFE6" w14:textId="740B8624" w:rsidR="00447029" w:rsidRPr="002E4D67" w:rsidRDefault="00447029" w:rsidP="00447029">
            <w:pPr>
              <w:pStyle w:val="berschrift1"/>
              <w:keepNext w:val="0"/>
              <w:keepLines w:val="0"/>
              <w:rPr>
                <w:lang w:val="en-US"/>
              </w:rPr>
            </w:pPr>
            <w:bookmarkStart w:id="124" w:name="_Toc212017867"/>
            <w:bookmarkStart w:id="125" w:name="_Toc213164153"/>
            <w:bookmarkStart w:id="126" w:name="_Toc213179140"/>
            <w:r w:rsidRPr="002E4D67">
              <w:rPr>
                <w:lang w:val="en-US"/>
              </w:rPr>
              <w:lastRenderedPageBreak/>
              <w:t>D.8 Plans for the token</w:t>
            </w:r>
            <w:bookmarkEnd w:id="124"/>
            <w:bookmarkEnd w:id="125"/>
            <w:bookmarkEnd w:id="126"/>
          </w:p>
        </w:tc>
        <w:tc>
          <w:tcPr>
            <w:tcW w:w="6371" w:type="dxa"/>
          </w:tcPr>
          <w:p w14:paraId="0C0D02BE" w14:textId="77777777" w:rsidR="00447029" w:rsidRPr="002E4D67" w:rsidRDefault="00447029" w:rsidP="00B115C4">
            <w:pPr>
              <w:pStyle w:val="Textkrper"/>
              <w:jc w:val="left"/>
              <w:rPr>
                <w:rFonts w:cstheme="minorHAnsi"/>
                <w:lang w:val="en-US"/>
              </w:rPr>
            </w:pPr>
            <w:bookmarkStart w:id="127" w:name="_cp_change_346"/>
            <w:r w:rsidRPr="002E4D67">
              <w:rPr>
                <w:rFonts w:cstheme="minorHAnsi"/>
                <w:lang w:val="en-US"/>
              </w:rPr>
              <w:t>The WYND Utility Token ($WYND) is designed as a long-term access and booking instrument for the WYND ecosystem.</w:t>
            </w:r>
            <w:bookmarkStart w:id="128" w:name="_cp_change_345"/>
            <w:bookmarkEnd w:id="127"/>
          </w:p>
          <w:p w14:paraId="6A2EF3FC" w14:textId="72F21FCC" w:rsidR="00447029" w:rsidRPr="002E4D67" w:rsidRDefault="00447029" w:rsidP="00B115C4">
            <w:pPr>
              <w:pStyle w:val="Textkrper"/>
              <w:jc w:val="left"/>
              <w:rPr>
                <w:rFonts w:cstheme="minorHAnsi"/>
                <w:lang w:val="en-US"/>
              </w:rPr>
            </w:pPr>
            <w:bookmarkStart w:id="129" w:name="_cp_change_348"/>
            <w:bookmarkEnd w:id="128"/>
            <w:r w:rsidRPr="002E4D67">
              <w:rPr>
                <w:rFonts w:cstheme="minorHAnsi"/>
                <w:lang w:val="en-US"/>
              </w:rPr>
              <w:t>Immediate Utility (2025–202</w:t>
            </w:r>
            <w:r w:rsidR="00E67272" w:rsidRPr="002E4D67">
              <w:rPr>
                <w:rFonts w:cstheme="minorHAnsi"/>
                <w:lang w:val="en-US"/>
              </w:rPr>
              <w:t>8</w:t>
            </w:r>
            <w:r w:rsidRPr="002E4D67">
              <w:rPr>
                <w:rFonts w:cstheme="minorHAnsi"/>
                <w:lang w:val="en-US"/>
              </w:rPr>
              <w:t>)</w:t>
            </w:r>
            <w:bookmarkStart w:id="130" w:name="_cp_change_347"/>
            <w:bookmarkEnd w:id="129"/>
          </w:p>
          <w:p w14:paraId="098AF8A9" w14:textId="77777777" w:rsidR="00E67272" w:rsidRPr="002E4D67" w:rsidRDefault="00447029" w:rsidP="00B115C4">
            <w:pPr>
              <w:pStyle w:val="Textkrper"/>
              <w:numPr>
                <w:ilvl w:val="0"/>
                <w:numId w:val="28"/>
              </w:numPr>
              <w:jc w:val="left"/>
              <w:rPr>
                <w:rFonts w:cstheme="minorHAnsi"/>
                <w:lang w:val="en-US"/>
              </w:rPr>
            </w:pPr>
            <w:bookmarkStart w:id="131" w:name="_cp_change_349"/>
            <w:bookmarkStart w:id="132" w:name="_cp_change_351"/>
            <w:bookmarkEnd w:id="130"/>
            <w:r w:rsidRPr="002E4D67">
              <w:rPr>
                <w:rFonts w:cstheme="minorHAnsi"/>
                <w:lang w:val="en-US"/>
              </w:rPr>
              <w:t>B</w:t>
            </w:r>
            <w:bookmarkEnd w:id="131"/>
            <w:r w:rsidRPr="002E4D67">
              <w:rPr>
                <w:rFonts w:cstheme="minorHAnsi"/>
                <w:lang w:val="en-US"/>
              </w:rPr>
              <w:t>ookings for WYND Discovery Weeks (Red Sea)</w:t>
            </w:r>
            <w:bookmarkStart w:id="133" w:name="_cp_change_352"/>
            <w:bookmarkStart w:id="134" w:name="_cp_change_354"/>
            <w:bookmarkEnd w:id="132"/>
          </w:p>
          <w:p w14:paraId="358955CE" w14:textId="77777777" w:rsidR="00E67272" w:rsidRPr="002E4D67" w:rsidRDefault="00447029" w:rsidP="00B115C4">
            <w:pPr>
              <w:pStyle w:val="Textkrper"/>
              <w:numPr>
                <w:ilvl w:val="0"/>
                <w:numId w:val="28"/>
              </w:numPr>
              <w:jc w:val="left"/>
              <w:rPr>
                <w:rFonts w:cstheme="minorHAnsi"/>
                <w:lang w:val="en-US"/>
              </w:rPr>
            </w:pPr>
            <w:r w:rsidRPr="002E4D67">
              <w:rPr>
                <w:rFonts w:cstheme="minorHAnsi"/>
                <w:lang w:val="en-US"/>
              </w:rPr>
              <w:t>A</w:t>
            </w:r>
            <w:bookmarkEnd w:id="133"/>
            <w:r w:rsidRPr="002E4D67">
              <w:rPr>
                <w:rFonts w:cstheme="minorHAnsi"/>
                <w:lang w:val="en-US"/>
              </w:rPr>
              <w:t>ccess to WYND Concierge &amp; Experiences</w:t>
            </w:r>
            <w:bookmarkStart w:id="135" w:name="_cp_change_355"/>
            <w:bookmarkStart w:id="136" w:name="_cp_change_357"/>
            <w:bookmarkEnd w:id="134"/>
          </w:p>
          <w:p w14:paraId="5A542099" w14:textId="672946AD" w:rsidR="00447029" w:rsidRPr="002E4D67" w:rsidRDefault="00447029" w:rsidP="00B115C4">
            <w:pPr>
              <w:pStyle w:val="Textkrper"/>
              <w:numPr>
                <w:ilvl w:val="0"/>
                <w:numId w:val="28"/>
              </w:numPr>
              <w:jc w:val="left"/>
              <w:rPr>
                <w:rFonts w:cstheme="minorHAnsi"/>
                <w:lang w:val="en-US"/>
              </w:rPr>
            </w:pPr>
            <w:r w:rsidRPr="002E4D67">
              <w:rPr>
                <w:rFonts w:cstheme="minorHAnsi"/>
                <w:lang w:val="en-US"/>
              </w:rPr>
              <w:lastRenderedPageBreak/>
              <w:t>S</w:t>
            </w:r>
            <w:bookmarkEnd w:id="135"/>
            <w:r w:rsidRPr="002E4D67">
              <w:rPr>
                <w:rFonts w:cstheme="minorHAnsi"/>
                <w:lang w:val="en-US"/>
              </w:rPr>
              <w:t>taking (3–36 months) to unlock membership benefits and early booking rights</w:t>
            </w:r>
            <w:bookmarkStart w:id="137" w:name="_cp_change_356"/>
            <w:bookmarkEnd w:id="136"/>
          </w:p>
          <w:p w14:paraId="68736B9D" w14:textId="1E88EA7B" w:rsidR="00447029" w:rsidRPr="002E4D67" w:rsidRDefault="00447029" w:rsidP="00B115C4">
            <w:pPr>
              <w:pStyle w:val="Textkrper"/>
              <w:jc w:val="left"/>
              <w:rPr>
                <w:rFonts w:cstheme="minorHAnsi"/>
                <w:lang w:val="en-US"/>
              </w:rPr>
            </w:pPr>
            <w:bookmarkStart w:id="138" w:name="_cp_change_359"/>
            <w:bookmarkEnd w:id="137"/>
            <w:r w:rsidRPr="002E4D67">
              <w:rPr>
                <w:rFonts w:cstheme="minorHAnsi"/>
                <w:lang w:val="en-US"/>
              </w:rPr>
              <w:t>Mid-Term Utility (from 202</w:t>
            </w:r>
            <w:r w:rsidR="00E67272" w:rsidRPr="002E4D67">
              <w:rPr>
                <w:rFonts w:cstheme="minorHAnsi"/>
                <w:lang w:val="en-US"/>
              </w:rPr>
              <w:t>8</w:t>
            </w:r>
            <w:r w:rsidRPr="002E4D67">
              <w:rPr>
                <w:rFonts w:cstheme="minorHAnsi"/>
                <w:lang w:val="en-US"/>
              </w:rPr>
              <w:t>)</w:t>
            </w:r>
            <w:bookmarkStart w:id="139" w:name="_cp_change_358"/>
            <w:bookmarkEnd w:id="138"/>
          </w:p>
          <w:p w14:paraId="27F14A56" w14:textId="564DB20E" w:rsidR="00E67272" w:rsidRPr="002E4D67" w:rsidRDefault="00447029" w:rsidP="00B115C4">
            <w:pPr>
              <w:pStyle w:val="Textkrper"/>
              <w:numPr>
                <w:ilvl w:val="0"/>
                <w:numId w:val="28"/>
              </w:numPr>
              <w:jc w:val="left"/>
              <w:rPr>
                <w:rFonts w:cstheme="minorHAnsi"/>
                <w:lang w:val="en-US"/>
              </w:rPr>
            </w:pPr>
            <w:bookmarkStart w:id="140" w:name="_cp_change_360"/>
            <w:bookmarkStart w:id="141" w:name="_cp_change_362"/>
            <w:bookmarkEnd w:id="139"/>
            <w:r w:rsidRPr="002E4D67">
              <w:rPr>
                <w:rFonts w:cstheme="minorHAnsi"/>
                <w:lang w:val="en-US"/>
              </w:rPr>
              <w:t>F</w:t>
            </w:r>
            <w:bookmarkEnd w:id="140"/>
            <w:r w:rsidRPr="002E4D67">
              <w:rPr>
                <w:rFonts w:cstheme="minorHAnsi"/>
                <w:lang w:val="en-US"/>
              </w:rPr>
              <w:t>ull integration into the first 52m WYND Yacht</w:t>
            </w:r>
            <w:r w:rsidR="00C02898" w:rsidRPr="002E4D67">
              <w:rPr>
                <w:rFonts w:cstheme="minorHAnsi"/>
                <w:lang w:val="en-US"/>
              </w:rPr>
              <w:t xml:space="preserve"> (2029)</w:t>
            </w:r>
            <w:r w:rsidRPr="002E4D67">
              <w:rPr>
                <w:rFonts w:cstheme="minorHAnsi"/>
                <w:lang w:val="en-US"/>
              </w:rPr>
              <w:t>, enabling token-based bookings for full charter, cabins, and curated events</w:t>
            </w:r>
            <w:bookmarkStart w:id="142" w:name="_cp_change_363"/>
            <w:bookmarkStart w:id="143" w:name="_cp_change_365"/>
            <w:bookmarkEnd w:id="141"/>
          </w:p>
          <w:p w14:paraId="70C6A68C" w14:textId="72C26D8A" w:rsidR="00447029" w:rsidRPr="002E4D67" w:rsidRDefault="00447029" w:rsidP="00B115C4">
            <w:pPr>
              <w:pStyle w:val="Textkrper"/>
              <w:numPr>
                <w:ilvl w:val="0"/>
                <w:numId w:val="28"/>
              </w:numPr>
              <w:jc w:val="left"/>
              <w:rPr>
                <w:rFonts w:cstheme="minorHAnsi"/>
                <w:lang w:val="en-US"/>
              </w:rPr>
            </w:pPr>
            <w:r w:rsidRPr="002E4D67">
              <w:rPr>
                <w:rFonts w:cstheme="minorHAnsi"/>
                <w:lang w:val="en-US"/>
              </w:rPr>
              <w:t>E</w:t>
            </w:r>
            <w:bookmarkEnd w:id="142"/>
            <w:r w:rsidRPr="002E4D67">
              <w:rPr>
                <w:rFonts w:cstheme="minorHAnsi"/>
                <w:lang w:val="en-US"/>
              </w:rPr>
              <w:t>xpansion into WYND Jet &amp; Heli mobility services</w:t>
            </w:r>
            <w:bookmarkStart w:id="144" w:name="_cp_change_364"/>
            <w:bookmarkEnd w:id="143"/>
          </w:p>
          <w:p w14:paraId="0FF02C11" w14:textId="77777777" w:rsidR="00447029" w:rsidRPr="002E4D67" w:rsidRDefault="00447029" w:rsidP="00B115C4">
            <w:pPr>
              <w:pStyle w:val="Textkrper"/>
              <w:jc w:val="left"/>
              <w:rPr>
                <w:rFonts w:cstheme="minorHAnsi"/>
                <w:lang w:val="en-US"/>
              </w:rPr>
            </w:pPr>
            <w:bookmarkStart w:id="145" w:name="_cp_change_367"/>
            <w:bookmarkEnd w:id="144"/>
            <w:r w:rsidRPr="002E4D67">
              <w:rPr>
                <w:rFonts w:cstheme="minorHAnsi"/>
                <w:lang w:val="en-US"/>
              </w:rPr>
              <w:t>Long-Term Utility (Vision)</w:t>
            </w:r>
            <w:bookmarkStart w:id="146" w:name="_cp_change_366"/>
            <w:bookmarkEnd w:id="145"/>
          </w:p>
          <w:p w14:paraId="58A8A372" w14:textId="77777777" w:rsidR="00E67272" w:rsidRPr="002E4D67" w:rsidRDefault="00447029" w:rsidP="00B115C4">
            <w:pPr>
              <w:pStyle w:val="Textkrper"/>
              <w:numPr>
                <w:ilvl w:val="0"/>
                <w:numId w:val="28"/>
              </w:numPr>
              <w:jc w:val="left"/>
              <w:rPr>
                <w:rFonts w:cstheme="minorHAnsi"/>
                <w:lang w:val="en-US"/>
              </w:rPr>
            </w:pPr>
            <w:bookmarkStart w:id="147" w:name="_cp_change_368"/>
            <w:bookmarkStart w:id="148" w:name="_cp_change_370"/>
            <w:bookmarkEnd w:id="146"/>
            <w:r w:rsidRPr="002E4D67">
              <w:rPr>
                <w:rFonts w:cstheme="minorHAnsi"/>
                <w:lang w:val="en-US"/>
              </w:rPr>
              <w:t>D</w:t>
            </w:r>
            <w:bookmarkEnd w:id="147"/>
            <w:r w:rsidRPr="002E4D67">
              <w:rPr>
                <w:rFonts w:cstheme="minorHAnsi"/>
                <w:lang w:val="en-US"/>
              </w:rPr>
              <w:t>evelopment of a global fleet of up to 8 WYND Yachts, operating in the most attractive destinations worldwide (Mediterranean, Caribbean, Indian Ocean, Pacific).</w:t>
            </w:r>
            <w:bookmarkStart w:id="149" w:name="_cp_change_371"/>
            <w:bookmarkStart w:id="150" w:name="_cp_change_373"/>
            <w:bookmarkEnd w:id="148"/>
          </w:p>
          <w:p w14:paraId="5DECA6C0" w14:textId="3DDCBF6E" w:rsidR="00447029" w:rsidRPr="002E4D67" w:rsidRDefault="00447029" w:rsidP="00B115C4">
            <w:pPr>
              <w:pStyle w:val="Textkrper"/>
              <w:numPr>
                <w:ilvl w:val="0"/>
                <w:numId w:val="28"/>
              </w:numPr>
              <w:jc w:val="left"/>
              <w:rPr>
                <w:rFonts w:cstheme="minorHAnsi"/>
                <w:lang w:val="en-US"/>
              </w:rPr>
            </w:pPr>
            <w:r w:rsidRPr="002E4D67">
              <w:rPr>
                <w:rFonts w:cstheme="minorHAnsi"/>
                <w:lang w:val="en-US"/>
              </w:rPr>
              <w:t>T</w:t>
            </w:r>
            <w:bookmarkEnd w:id="149"/>
            <w:r w:rsidRPr="002E4D67">
              <w:rPr>
                <w:rFonts w:cstheme="minorHAnsi"/>
                <w:lang w:val="en-US"/>
              </w:rPr>
              <w:t>oken holders will benefit from a broader choice of itineraries, global booking opportunities, and extended community formats.</w:t>
            </w:r>
            <w:bookmarkStart w:id="151" w:name="_cp_change_372"/>
            <w:bookmarkEnd w:id="150"/>
          </w:p>
          <w:p w14:paraId="5AC5EA71" w14:textId="77777777" w:rsidR="00447029" w:rsidRPr="002E4D67" w:rsidRDefault="00447029" w:rsidP="00B115C4">
            <w:pPr>
              <w:pStyle w:val="Textkrper"/>
              <w:jc w:val="left"/>
              <w:rPr>
                <w:rFonts w:cstheme="minorHAnsi"/>
                <w:lang w:val="en-US"/>
              </w:rPr>
            </w:pPr>
            <w:bookmarkStart w:id="152" w:name="_cp_change_375"/>
            <w:bookmarkEnd w:id="151"/>
            <w:r w:rsidRPr="002E4D67">
              <w:rPr>
                <w:rFonts w:cstheme="minorHAnsi"/>
                <w:lang w:val="en-US"/>
              </w:rPr>
              <w:t>Continuous Benefits</w:t>
            </w:r>
            <w:bookmarkStart w:id="153" w:name="_cp_change_374"/>
            <w:bookmarkEnd w:id="152"/>
          </w:p>
          <w:p w14:paraId="75BFD0F5" w14:textId="77777777" w:rsidR="00447029" w:rsidRPr="002E4D67" w:rsidRDefault="00447029" w:rsidP="00B115C4">
            <w:pPr>
              <w:pStyle w:val="Textkrper"/>
              <w:jc w:val="left"/>
              <w:rPr>
                <w:rFonts w:cstheme="minorHAnsi"/>
                <w:lang w:val="en-US"/>
              </w:rPr>
            </w:pPr>
            <w:bookmarkStart w:id="154" w:name="_cp_change_376"/>
            <w:bookmarkStart w:id="155" w:name="_cp_change_378"/>
            <w:bookmarkEnd w:id="153"/>
            <w:r w:rsidRPr="002E4D67">
              <w:rPr>
                <w:rFonts w:cstheme="minorHAnsi"/>
                <w:lang w:val="en-US"/>
              </w:rPr>
              <w:t>1</w:t>
            </w:r>
            <w:bookmarkEnd w:id="154"/>
            <w:r w:rsidRPr="002E4D67">
              <w:rPr>
                <w:rFonts w:cstheme="minorHAnsi"/>
                <w:lang w:val="en-US"/>
              </w:rPr>
              <w:t>5% discount on all bookings when paying with $WYND compared to fiat</w:t>
            </w:r>
            <w:bookmarkStart w:id="156" w:name="_cp_change_377"/>
            <w:bookmarkEnd w:id="155"/>
          </w:p>
          <w:p w14:paraId="5AC03406" w14:textId="681D36E8" w:rsidR="00447029" w:rsidRPr="002E4D67" w:rsidRDefault="00447029" w:rsidP="00B115C4">
            <w:pPr>
              <w:pStyle w:val="Textkrper"/>
              <w:jc w:val="left"/>
              <w:rPr>
                <w:rFonts w:cstheme="minorHAnsi"/>
                <w:lang w:val="en-US"/>
              </w:rPr>
            </w:pPr>
            <w:bookmarkStart w:id="157" w:name="_cp_change_379"/>
            <w:bookmarkStart w:id="158" w:name="_cp_change_381"/>
            <w:bookmarkEnd w:id="156"/>
            <w:r w:rsidRPr="002E4D67">
              <w:rPr>
                <w:rFonts w:cstheme="minorHAnsi"/>
                <w:lang w:val="en-US"/>
              </w:rPr>
              <w:t>C</w:t>
            </w:r>
            <w:bookmarkEnd w:id="157"/>
            <w:r w:rsidRPr="002E4D67">
              <w:rPr>
                <w:rFonts w:cstheme="minorHAnsi"/>
                <w:lang w:val="en-US"/>
              </w:rPr>
              <w:t>onversion into Access Credits (AC) based on the WYND Price Index (WPI), aligning with service prices in USD and token market value</w:t>
            </w:r>
            <w:bookmarkStart w:id="159" w:name="_cp_change_380"/>
            <w:bookmarkEnd w:id="158"/>
            <w:r w:rsidRPr="002E4D67">
              <w:rPr>
                <w:rFonts w:cstheme="minorHAnsi"/>
                <w:lang w:val="en-US"/>
              </w:rPr>
              <w:t>.</w:t>
            </w:r>
          </w:p>
          <w:p w14:paraId="6E829258" w14:textId="40255986" w:rsidR="00447029" w:rsidRPr="002E4D67" w:rsidRDefault="00447029" w:rsidP="00B115C4">
            <w:pPr>
              <w:pStyle w:val="Textkrper"/>
              <w:jc w:val="left"/>
              <w:rPr>
                <w:rFonts w:cstheme="minorHAnsi"/>
                <w:lang w:val="en-US"/>
              </w:rPr>
            </w:pPr>
            <w:bookmarkStart w:id="160" w:name="_cp_change_382"/>
            <w:bookmarkStart w:id="161" w:name="_cp_change_384"/>
            <w:bookmarkEnd w:id="159"/>
            <w:r w:rsidRPr="002E4D67">
              <w:rPr>
                <w:rFonts w:cstheme="minorHAnsi"/>
                <w:lang w:val="en-US"/>
              </w:rPr>
              <w:t>S</w:t>
            </w:r>
            <w:bookmarkEnd w:id="160"/>
            <w:r w:rsidRPr="002E4D67">
              <w:rPr>
                <w:rFonts w:cstheme="minorHAnsi"/>
                <w:lang w:val="en-US"/>
              </w:rPr>
              <w:t>taking as a core mechanism for community status, loyalty, and early booking access</w:t>
            </w:r>
            <w:bookmarkEnd w:id="161"/>
            <w:r w:rsidRPr="002E4D67">
              <w:rPr>
                <w:rFonts w:cstheme="minorHAnsi"/>
                <w:lang w:val="en-US"/>
              </w:rPr>
              <w:t>.</w:t>
            </w:r>
          </w:p>
        </w:tc>
      </w:tr>
      <w:tr w:rsidR="00C02898" w:rsidRPr="002E4D67" w14:paraId="7D735F5A" w14:textId="77777777" w:rsidTr="00D64090">
        <w:tc>
          <w:tcPr>
            <w:tcW w:w="1985" w:type="dxa"/>
          </w:tcPr>
          <w:p w14:paraId="110F9C44" w14:textId="53F0568C" w:rsidR="00C02898" w:rsidRPr="002E4D67" w:rsidRDefault="00C02898" w:rsidP="00C02898">
            <w:pPr>
              <w:pStyle w:val="berschrift1"/>
              <w:keepNext w:val="0"/>
              <w:keepLines w:val="0"/>
              <w:rPr>
                <w:lang w:val="en-US"/>
              </w:rPr>
            </w:pPr>
            <w:bookmarkStart w:id="162" w:name="_Toc213164154"/>
            <w:bookmarkStart w:id="163" w:name="_Toc213179141"/>
            <w:r w:rsidRPr="002E4D67">
              <w:rPr>
                <w:lang w:val="en-US"/>
              </w:rPr>
              <w:lastRenderedPageBreak/>
              <w:t>D.9 Resource allocation</w:t>
            </w:r>
            <w:bookmarkEnd w:id="162"/>
            <w:bookmarkEnd w:id="163"/>
          </w:p>
        </w:tc>
        <w:tc>
          <w:tcPr>
            <w:tcW w:w="6371" w:type="dxa"/>
          </w:tcPr>
          <w:p w14:paraId="15919040" w14:textId="77777777" w:rsidR="00FD7B9C" w:rsidRDefault="00FD7B9C" w:rsidP="00FD7B9C">
            <w:pPr>
              <w:pStyle w:val="StandardWeb"/>
              <w:jc w:val="left"/>
            </w:pPr>
            <w:r>
              <w:t>As of the date of this notification, WYND Capital GmbH (Hamburg, Germany), as the issuer of the WYND Utility Token ($WYND), has allocated a defined set of financial, technical and organisational resources to the development and initial implementation of the WYND digital ecosystem.</w:t>
            </w:r>
            <w:r>
              <w:br/>
              <w:t xml:space="preserve">In accordance with Annex I of Regulation (EU) 2023/1114, this section reflects </w:t>
            </w:r>
            <w:r>
              <w:rPr>
                <w:rStyle w:val="Fett"/>
              </w:rPr>
              <w:t>only the resources already committed by the issuer prior to this submission</w:t>
            </w:r>
            <w:r>
              <w:t>, and does not include any activities related to yacht construction, yacht design, yacht operation or other physical assets.</w:t>
            </w:r>
          </w:p>
          <w:p w14:paraId="0C57A3A5" w14:textId="77777777" w:rsidR="00FD7B9C" w:rsidRPr="00FD7B9C" w:rsidRDefault="00FD7B9C" w:rsidP="00FD7B9C">
            <w:pPr>
              <w:pStyle w:val="berschrift3"/>
              <w:numPr>
                <w:ilvl w:val="0"/>
                <w:numId w:val="0"/>
              </w:numPr>
              <w:ind w:left="794" w:hanging="794"/>
            </w:pPr>
            <w:r w:rsidRPr="00FD7B9C">
              <w:rPr>
                <w:rStyle w:val="Fett"/>
              </w:rPr>
              <w:lastRenderedPageBreak/>
              <w:t>1. Financial resources already invested</w:t>
            </w:r>
          </w:p>
          <w:p w14:paraId="192DB3DB" w14:textId="77777777" w:rsidR="00FD7B9C" w:rsidRDefault="00FD7B9C" w:rsidP="00FD7B9C">
            <w:pPr>
              <w:pStyle w:val="StandardWeb"/>
              <w:jc w:val="left"/>
            </w:pPr>
            <w:r>
              <w:t>WYND Capital GmbH has incurred expenditures for:</w:t>
            </w:r>
          </w:p>
          <w:p w14:paraId="095993E8" w14:textId="77777777" w:rsidR="00FD7B9C" w:rsidRDefault="00FD7B9C" w:rsidP="00FD7B9C">
            <w:pPr>
              <w:pStyle w:val="StandardWeb"/>
              <w:numPr>
                <w:ilvl w:val="0"/>
                <w:numId w:val="101"/>
              </w:numPr>
              <w:overflowPunct/>
              <w:autoSpaceDE/>
              <w:autoSpaceDN/>
              <w:adjustRightInd/>
              <w:spacing w:before="100" w:beforeAutospacing="1" w:after="100" w:afterAutospacing="1" w:line="240" w:lineRule="auto"/>
              <w:jc w:val="left"/>
              <w:textAlignment w:val="auto"/>
            </w:pPr>
            <w:r>
              <w:t>development of the initial $WYND smart-contract architecture and related security assessments;</w:t>
            </w:r>
          </w:p>
          <w:p w14:paraId="4C8BD95D" w14:textId="77777777" w:rsidR="00FD7B9C" w:rsidRDefault="00FD7B9C" w:rsidP="00FD7B9C">
            <w:pPr>
              <w:pStyle w:val="StandardWeb"/>
              <w:numPr>
                <w:ilvl w:val="0"/>
                <w:numId w:val="101"/>
              </w:numPr>
              <w:overflowPunct/>
              <w:autoSpaceDE/>
              <w:autoSpaceDN/>
              <w:adjustRightInd/>
              <w:spacing w:before="100" w:beforeAutospacing="1" w:after="100" w:afterAutospacing="1" w:line="240" w:lineRule="auto"/>
              <w:jc w:val="left"/>
              <w:textAlignment w:val="auto"/>
            </w:pPr>
            <w:r>
              <w:t>legal and regulatory advisory services relating to MiCA structuring, compliance and documentation;</w:t>
            </w:r>
          </w:p>
          <w:p w14:paraId="2C1E9376" w14:textId="77777777" w:rsidR="00FD7B9C" w:rsidRDefault="00FD7B9C" w:rsidP="00FD7B9C">
            <w:pPr>
              <w:pStyle w:val="StandardWeb"/>
              <w:numPr>
                <w:ilvl w:val="0"/>
                <w:numId w:val="101"/>
              </w:numPr>
              <w:overflowPunct/>
              <w:autoSpaceDE/>
              <w:autoSpaceDN/>
              <w:adjustRightInd/>
              <w:spacing w:before="100" w:beforeAutospacing="1" w:after="100" w:afterAutospacing="1" w:line="240" w:lineRule="auto"/>
              <w:jc w:val="left"/>
              <w:textAlignment w:val="auto"/>
            </w:pPr>
            <w:r>
              <w:t>initial development of the WYND App, booking interface and membership platform;</w:t>
            </w:r>
          </w:p>
          <w:p w14:paraId="2C0BE511" w14:textId="77777777" w:rsidR="00FD7B9C" w:rsidRDefault="00FD7B9C" w:rsidP="00FD7B9C">
            <w:pPr>
              <w:pStyle w:val="StandardWeb"/>
              <w:numPr>
                <w:ilvl w:val="0"/>
                <w:numId w:val="101"/>
              </w:numPr>
              <w:overflowPunct/>
              <w:autoSpaceDE/>
              <w:autoSpaceDN/>
              <w:adjustRightInd/>
              <w:spacing w:before="100" w:beforeAutospacing="1" w:after="100" w:afterAutospacing="1" w:line="240" w:lineRule="auto"/>
              <w:jc w:val="left"/>
              <w:textAlignment w:val="auto"/>
            </w:pPr>
            <w:r>
              <w:t>brand creation, digital assets, website development and foundational marketing materials.</w:t>
            </w:r>
          </w:p>
          <w:p w14:paraId="5F5F96CA" w14:textId="77777777" w:rsidR="00FD7B9C" w:rsidRPr="00FD7B9C" w:rsidRDefault="00FD7B9C" w:rsidP="00FD7B9C">
            <w:pPr>
              <w:pStyle w:val="berschrift3"/>
              <w:numPr>
                <w:ilvl w:val="0"/>
                <w:numId w:val="0"/>
              </w:numPr>
              <w:ind w:left="794" w:hanging="794"/>
            </w:pPr>
            <w:r w:rsidRPr="00FD7B9C">
              <w:rPr>
                <w:rStyle w:val="Fett"/>
              </w:rPr>
              <w:t>2. Technical resources already allocated</w:t>
            </w:r>
          </w:p>
          <w:p w14:paraId="7128A683" w14:textId="77777777" w:rsidR="00FD7B9C" w:rsidRDefault="00FD7B9C" w:rsidP="00FD7B9C">
            <w:pPr>
              <w:pStyle w:val="StandardWeb"/>
              <w:jc w:val="left"/>
            </w:pPr>
            <w:r>
              <w:t>The issuer has deployed technical resources including:</w:t>
            </w:r>
          </w:p>
          <w:p w14:paraId="3F88D558" w14:textId="77777777" w:rsidR="00FD7B9C" w:rsidRDefault="00FD7B9C" w:rsidP="00FD7B9C">
            <w:pPr>
              <w:pStyle w:val="StandardWeb"/>
              <w:numPr>
                <w:ilvl w:val="0"/>
                <w:numId w:val="102"/>
              </w:numPr>
              <w:overflowPunct/>
              <w:autoSpaceDE/>
              <w:autoSpaceDN/>
              <w:adjustRightInd/>
              <w:spacing w:before="100" w:beforeAutospacing="1" w:after="100" w:afterAutospacing="1" w:line="240" w:lineRule="auto"/>
              <w:jc w:val="left"/>
              <w:textAlignment w:val="auto"/>
            </w:pPr>
            <w:r>
              <w:t>development of the preliminary WYND Price Index (WPI) and Access Credit (AC) calculation models;</w:t>
            </w:r>
          </w:p>
          <w:p w14:paraId="7F6D5E11" w14:textId="77777777" w:rsidR="00FD7B9C" w:rsidRDefault="00FD7B9C" w:rsidP="00FD7B9C">
            <w:pPr>
              <w:pStyle w:val="StandardWeb"/>
              <w:numPr>
                <w:ilvl w:val="0"/>
                <w:numId w:val="102"/>
              </w:numPr>
              <w:overflowPunct/>
              <w:autoSpaceDE/>
              <w:autoSpaceDN/>
              <w:adjustRightInd/>
              <w:spacing w:before="100" w:beforeAutospacing="1" w:after="100" w:afterAutospacing="1" w:line="240" w:lineRule="auto"/>
              <w:jc w:val="left"/>
              <w:textAlignment w:val="auto"/>
            </w:pPr>
            <w:r>
              <w:t>implementation of multisig-controlled issuer wallets and internal security procedures;</w:t>
            </w:r>
          </w:p>
          <w:p w14:paraId="21BEAEDC" w14:textId="77777777" w:rsidR="00FD7B9C" w:rsidRDefault="00FD7B9C" w:rsidP="00FD7B9C">
            <w:pPr>
              <w:pStyle w:val="StandardWeb"/>
              <w:numPr>
                <w:ilvl w:val="0"/>
                <w:numId w:val="102"/>
              </w:numPr>
              <w:overflowPunct/>
              <w:autoSpaceDE/>
              <w:autoSpaceDN/>
              <w:adjustRightInd/>
              <w:spacing w:before="100" w:beforeAutospacing="1" w:after="100" w:afterAutospacing="1" w:line="240" w:lineRule="auto"/>
              <w:jc w:val="left"/>
              <w:textAlignment w:val="auto"/>
            </w:pPr>
            <w:r>
              <w:t>setup and integration work with regulated issuance and registry partners (Bitbond GmbH and Smart Registry GmbH);</w:t>
            </w:r>
          </w:p>
          <w:p w14:paraId="2B46EAFD" w14:textId="77777777" w:rsidR="00FD7B9C" w:rsidRDefault="00FD7B9C" w:rsidP="00FD7B9C">
            <w:pPr>
              <w:pStyle w:val="StandardWeb"/>
              <w:numPr>
                <w:ilvl w:val="0"/>
                <w:numId w:val="102"/>
              </w:numPr>
              <w:overflowPunct/>
              <w:autoSpaceDE/>
              <w:autoSpaceDN/>
              <w:adjustRightInd/>
              <w:spacing w:before="100" w:beforeAutospacing="1" w:after="100" w:afterAutospacing="1" w:line="240" w:lineRule="auto"/>
              <w:jc w:val="left"/>
              <w:textAlignment w:val="auto"/>
            </w:pPr>
            <w:r>
              <w:t>backend and infrastructure configuration necessary for token operations and member account management.</w:t>
            </w:r>
          </w:p>
          <w:p w14:paraId="5AB1C72C" w14:textId="77777777" w:rsidR="00FD7B9C" w:rsidRPr="00FD7B9C" w:rsidRDefault="00FD7B9C" w:rsidP="00FD7B9C">
            <w:pPr>
              <w:pStyle w:val="berschrift3"/>
              <w:numPr>
                <w:ilvl w:val="0"/>
                <w:numId w:val="0"/>
              </w:numPr>
              <w:ind w:left="794" w:hanging="794"/>
            </w:pPr>
            <w:r w:rsidRPr="00FD7B9C">
              <w:rPr>
                <w:rStyle w:val="Fett"/>
              </w:rPr>
              <w:t>3. Human and organisational resources committed</w:t>
            </w:r>
          </w:p>
          <w:p w14:paraId="7132C5F6" w14:textId="77777777" w:rsidR="00FD7B9C" w:rsidRDefault="00FD7B9C" w:rsidP="00FD7B9C">
            <w:pPr>
              <w:pStyle w:val="StandardWeb"/>
            </w:pPr>
            <w:r>
              <w:t>WYND Capital GmbH has already allocated:</w:t>
            </w:r>
          </w:p>
          <w:p w14:paraId="43E16C8C" w14:textId="77777777" w:rsidR="00FD7B9C" w:rsidRDefault="00FD7B9C" w:rsidP="00FD7B9C">
            <w:pPr>
              <w:pStyle w:val="StandardWeb"/>
              <w:numPr>
                <w:ilvl w:val="0"/>
                <w:numId w:val="103"/>
              </w:numPr>
              <w:overflowPunct/>
              <w:autoSpaceDE/>
              <w:autoSpaceDN/>
              <w:adjustRightInd/>
              <w:spacing w:before="100" w:beforeAutospacing="1" w:after="100" w:afterAutospacing="1" w:line="240" w:lineRule="auto"/>
              <w:jc w:val="left"/>
              <w:textAlignment w:val="auto"/>
            </w:pPr>
            <w:r>
              <w:t>an internal core team responsible for token development, operational coordination, compliance and ecosystem planning;</w:t>
            </w:r>
          </w:p>
          <w:p w14:paraId="3A0E0C34" w14:textId="77777777" w:rsidR="00FD7B9C" w:rsidRDefault="00FD7B9C" w:rsidP="00FD7B9C">
            <w:pPr>
              <w:pStyle w:val="StandardWeb"/>
              <w:numPr>
                <w:ilvl w:val="0"/>
                <w:numId w:val="103"/>
              </w:numPr>
              <w:overflowPunct/>
              <w:autoSpaceDE/>
              <w:autoSpaceDN/>
              <w:adjustRightInd/>
              <w:spacing w:before="100" w:beforeAutospacing="1" w:after="100" w:afterAutospacing="1" w:line="240" w:lineRule="auto"/>
              <w:jc w:val="left"/>
              <w:textAlignment w:val="auto"/>
            </w:pPr>
            <w:r>
              <w:t>contributions by founders and advisors in the areas of governance, ecosystem structuring and technical oversight;</w:t>
            </w:r>
          </w:p>
          <w:p w14:paraId="47F6FC75" w14:textId="77777777" w:rsidR="00FD7B9C" w:rsidRDefault="00FD7B9C" w:rsidP="00FD7B9C">
            <w:pPr>
              <w:pStyle w:val="StandardWeb"/>
              <w:numPr>
                <w:ilvl w:val="0"/>
                <w:numId w:val="103"/>
              </w:numPr>
              <w:overflowPunct/>
              <w:autoSpaceDE/>
              <w:autoSpaceDN/>
              <w:adjustRightInd/>
              <w:spacing w:before="100" w:beforeAutospacing="1" w:after="100" w:afterAutospacing="1" w:line="240" w:lineRule="auto"/>
              <w:jc w:val="left"/>
              <w:textAlignment w:val="auto"/>
            </w:pPr>
            <w:r>
              <w:t>project-management resources for the coordination of technical, legal and operational workstreams.</w:t>
            </w:r>
          </w:p>
          <w:p w14:paraId="693FFEFA" w14:textId="77777777" w:rsidR="00FD7B9C" w:rsidRDefault="00FD7B9C" w:rsidP="00FD7B9C">
            <w:pPr>
              <w:pStyle w:val="berschrift3"/>
              <w:numPr>
                <w:ilvl w:val="0"/>
                <w:numId w:val="0"/>
              </w:numPr>
              <w:ind w:left="794" w:hanging="794"/>
            </w:pPr>
            <w:r w:rsidRPr="00FD7B9C">
              <w:rPr>
                <w:rStyle w:val="Fett"/>
              </w:rPr>
              <w:t>4. Important clarification</w:t>
            </w:r>
          </w:p>
          <w:p w14:paraId="57259AEE" w14:textId="77777777" w:rsidR="00FD7B9C" w:rsidRDefault="00FD7B9C" w:rsidP="00FD7B9C">
            <w:pPr>
              <w:pStyle w:val="StandardWeb"/>
            </w:pPr>
            <w:r>
              <w:t xml:space="preserve">The resources listed above relate </w:t>
            </w:r>
            <w:r>
              <w:rPr>
                <w:rStyle w:val="Fett"/>
              </w:rPr>
              <w:t>exclusively</w:t>
            </w:r>
            <w:r>
              <w:t xml:space="preserve"> to the digital ecosystem and token infrastructure operated by WYND Capital GmbH.</w:t>
            </w:r>
          </w:p>
          <w:p w14:paraId="58B57BB2" w14:textId="77777777" w:rsidR="00FD7B9C" w:rsidRDefault="00FD7B9C" w:rsidP="00FD7B9C">
            <w:pPr>
              <w:pStyle w:val="StandardWeb"/>
            </w:pPr>
            <w:r>
              <w:lastRenderedPageBreak/>
              <w:t xml:space="preserve">They explicitly </w:t>
            </w:r>
            <w:r>
              <w:rPr>
                <w:rStyle w:val="Fett"/>
              </w:rPr>
              <w:t>do not</w:t>
            </w:r>
            <w:r>
              <w:t xml:space="preserve"> include:</w:t>
            </w:r>
          </w:p>
          <w:p w14:paraId="45573055" w14:textId="77777777" w:rsidR="00FD7B9C" w:rsidRDefault="00FD7B9C" w:rsidP="00FD7B9C">
            <w:pPr>
              <w:pStyle w:val="StandardWeb"/>
              <w:numPr>
                <w:ilvl w:val="0"/>
                <w:numId w:val="104"/>
              </w:numPr>
              <w:overflowPunct/>
              <w:autoSpaceDE/>
              <w:autoSpaceDN/>
              <w:adjustRightInd/>
              <w:spacing w:before="100" w:beforeAutospacing="1" w:after="100" w:afterAutospacing="1" w:line="240" w:lineRule="auto"/>
              <w:jc w:val="left"/>
              <w:textAlignment w:val="auto"/>
            </w:pPr>
            <w:r>
              <w:t>any expenditures by MD Capital GmbH,</w:t>
            </w:r>
          </w:p>
          <w:p w14:paraId="3CE61076" w14:textId="77777777" w:rsidR="00FD7B9C" w:rsidRDefault="00FD7B9C" w:rsidP="00FD7B9C">
            <w:pPr>
              <w:pStyle w:val="StandardWeb"/>
              <w:numPr>
                <w:ilvl w:val="0"/>
                <w:numId w:val="104"/>
              </w:numPr>
              <w:overflowPunct/>
              <w:autoSpaceDE/>
              <w:autoSpaceDN/>
              <w:adjustRightInd/>
              <w:spacing w:before="100" w:beforeAutospacing="1" w:after="100" w:afterAutospacing="1" w:line="240" w:lineRule="auto"/>
              <w:jc w:val="left"/>
              <w:textAlignment w:val="auto"/>
            </w:pPr>
            <w:r>
              <w:t>any costs related to yacht construction, engineering, purchase, refinancing or operation,</w:t>
            </w:r>
          </w:p>
          <w:p w14:paraId="611241B4" w14:textId="77777777" w:rsidR="00FD7B9C" w:rsidRDefault="00FD7B9C" w:rsidP="00FD7B9C">
            <w:pPr>
              <w:pStyle w:val="StandardWeb"/>
              <w:numPr>
                <w:ilvl w:val="0"/>
                <w:numId w:val="104"/>
              </w:numPr>
              <w:overflowPunct/>
              <w:autoSpaceDE/>
              <w:autoSpaceDN/>
              <w:adjustRightInd/>
              <w:spacing w:before="100" w:beforeAutospacing="1" w:after="100" w:afterAutospacing="1" w:line="240" w:lineRule="auto"/>
              <w:jc w:val="left"/>
              <w:textAlignment w:val="auto"/>
            </w:pPr>
            <w:r>
              <w:t>any expenditures associated with WYND Discovery Weeks or other non-token business units.</w:t>
            </w:r>
          </w:p>
          <w:p w14:paraId="146F7122" w14:textId="77777777" w:rsidR="00FD7B9C" w:rsidRDefault="00FD7B9C" w:rsidP="00FD7B9C">
            <w:pPr>
              <w:pStyle w:val="StandardWeb"/>
            </w:pPr>
            <w:r>
              <w:t>Such activities fall entirely outside the scope of the issuer and are not part of the resource allocation under this section.</w:t>
            </w:r>
          </w:p>
          <w:p w14:paraId="799FAB16" w14:textId="5B6B02B6" w:rsidR="00FD7B9C" w:rsidRPr="002E4D67" w:rsidRDefault="00FD7B9C" w:rsidP="00C02898">
            <w:pPr>
              <w:pStyle w:val="Textkrper"/>
              <w:rPr>
                <w:rFonts w:cstheme="minorHAnsi"/>
                <w:lang w:val="en-US"/>
              </w:rPr>
            </w:pPr>
          </w:p>
        </w:tc>
      </w:tr>
      <w:tr w:rsidR="00C02898" w:rsidRPr="002E4D67" w14:paraId="78B22045" w14:textId="77777777" w:rsidTr="00D64090">
        <w:tc>
          <w:tcPr>
            <w:tcW w:w="1985" w:type="dxa"/>
          </w:tcPr>
          <w:p w14:paraId="7073265A" w14:textId="1EEE5B7F" w:rsidR="00C02898" w:rsidRPr="002E4D67" w:rsidRDefault="00C02898" w:rsidP="00C02898">
            <w:pPr>
              <w:pStyle w:val="berschrift1"/>
              <w:keepNext w:val="0"/>
              <w:keepLines w:val="0"/>
              <w:rPr>
                <w:lang w:val="en-US"/>
              </w:rPr>
            </w:pPr>
            <w:bookmarkStart w:id="164" w:name="_Toc212017869"/>
            <w:bookmarkStart w:id="165" w:name="_Toc213164159"/>
            <w:bookmarkStart w:id="166" w:name="_Toc213179142"/>
            <w:r w:rsidRPr="002E4D67">
              <w:rPr>
                <w:lang w:val="en-US"/>
              </w:rPr>
              <w:lastRenderedPageBreak/>
              <w:t>D.10 Planned use of Collected funds or crypto-Assets</w:t>
            </w:r>
            <w:bookmarkEnd w:id="164"/>
            <w:bookmarkEnd w:id="165"/>
            <w:bookmarkEnd w:id="166"/>
          </w:p>
        </w:tc>
        <w:tc>
          <w:tcPr>
            <w:tcW w:w="6371" w:type="dxa"/>
          </w:tcPr>
          <w:p w14:paraId="2B1AFA7A" w14:textId="77777777" w:rsidR="00FD7B9C" w:rsidRDefault="00FD7B9C" w:rsidP="00FD7B9C">
            <w:pPr>
              <w:pStyle w:val="StandardWeb"/>
            </w:pPr>
            <w:bookmarkStart w:id="167" w:name="_cp_change_452"/>
            <w:r>
              <w:t>The net proceeds from the public offer of the WYND Utility Token ($WYND) constitute operational revenue from the sale of digital access rights to services within the WYND ecosystem. Purchasers acquire a utility token that can be used as a means of accessing and paying for existing and future services offered by WYND Capital GmbH. The token does not represent an ownership interest, profit participation, or any claim against the issuer or any asset.</w:t>
            </w:r>
          </w:p>
          <w:p w14:paraId="4507D224" w14:textId="77777777" w:rsidR="00FD7B9C" w:rsidRDefault="00FD7B9C" w:rsidP="00FD7B9C">
            <w:pPr>
              <w:pStyle w:val="StandardWeb"/>
            </w:pPr>
            <w:r>
              <w:t xml:space="preserve">The collected funds or crypto-assets will be used exclusively to deliver, operate and further develop the WYND digital ecosystem and its related services. They will </w:t>
            </w:r>
            <w:r>
              <w:rPr>
                <w:rStyle w:val="Fett"/>
              </w:rPr>
              <w:t>not</w:t>
            </w:r>
            <w:r>
              <w:t xml:space="preserve"> be used to finance, purchase, refinance or operate any yacht or other physical asset. Such activities are carried out separately and exclusively by MD Capital GmbH through dedicated financing structures.</w:t>
            </w:r>
          </w:p>
          <w:p w14:paraId="58159547" w14:textId="77777777" w:rsidR="00FD7B9C" w:rsidRDefault="00FD7B9C" w:rsidP="00FD7B9C">
            <w:pPr>
              <w:pStyle w:val="StandardWeb"/>
            </w:pPr>
            <w:r>
              <w:t>Subject to the total amount raised and the development of the project, the issuer currently expects to allocate the collected funds within the following indicative ranges:</w:t>
            </w:r>
          </w:p>
          <w:p w14:paraId="4F0CBBB4" w14:textId="77777777" w:rsidR="00FD7B9C" w:rsidRDefault="00FD7B9C" w:rsidP="00FD7B9C">
            <w:pPr>
              <w:pStyle w:val="StandardWeb"/>
              <w:numPr>
                <w:ilvl w:val="0"/>
                <w:numId w:val="105"/>
              </w:numPr>
              <w:overflowPunct/>
              <w:autoSpaceDE/>
              <w:autoSpaceDN/>
              <w:adjustRightInd/>
              <w:spacing w:before="100" w:beforeAutospacing="1" w:after="100" w:afterAutospacing="1" w:line="240" w:lineRule="auto"/>
              <w:jc w:val="left"/>
              <w:textAlignment w:val="auto"/>
            </w:pPr>
            <w:r>
              <w:rPr>
                <w:rStyle w:val="Fett"/>
              </w:rPr>
              <w:t>Service Fulfilment &amp; Operations (approximately 30–40%)</w:t>
            </w:r>
          </w:p>
          <w:p w14:paraId="3689CC59" w14:textId="77777777" w:rsidR="00FD7B9C" w:rsidRDefault="00FD7B9C" w:rsidP="00FD7B9C">
            <w:pPr>
              <w:pStyle w:val="StandardWeb"/>
              <w:numPr>
                <w:ilvl w:val="1"/>
                <w:numId w:val="105"/>
              </w:numPr>
              <w:overflowPunct/>
              <w:autoSpaceDE/>
              <w:autoSpaceDN/>
              <w:adjustRightInd/>
              <w:spacing w:before="100" w:beforeAutospacing="1" w:after="100" w:afterAutospacing="1" w:line="240" w:lineRule="auto"/>
              <w:jc w:val="left"/>
              <w:textAlignment w:val="auto"/>
            </w:pPr>
            <w:r>
              <w:t>fulfilment and delivery of services that token holders may redeem in the future (e.g. WYND Discovery Weeks, concierge and lifestyle services, future mobility and experience services as they become available);</w:t>
            </w:r>
          </w:p>
          <w:p w14:paraId="5F7131A5" w14:textId="77777777" w:rsidR="00FD7B9C" w:rsidRDefault="00FD7B9C" w:rsidP="00FD7B9C">
            <w:pPr>
              <w:pStyle w:val="StandardWeb"/>
              <w:numPr>
                <w:ilvl w:val="1"/>
                <w:numId w:val="105"/>
              </w:numPr>
              <w:overflowPunct/>
              <w:autoSpaceDE/>
              <w:autoSpaceDN/>
              <w:adjustRightInd/>
              <w:spacing w:before="100" w:beforeAutospacing="1" w:after="100" w:afterAutospacing="1" w:line="240" w:lineRule="auto"/>
              <w:jc w:val="left"/>
              <w:textAlignment w:val="auto"/>
            </w:pPr>
            <w:r>
              <w:t>logistics, partner enablement, community and customer support;</w:t>
            </w:r>
          </w:p>
          <w:p w14:paraId="148A7371" w14:textId="77777777" w:rsidR="00FD7B9C" w:rsidRDefault="00FD7B9C" w:rsidP="00FD7B9C">
            <w:pPr>
              <w:pStyle w:val="StandardWeb"/>
              <w:numPr>
                <w:ilvl w:val="1"/>
                <w:numId w:val="105"/>
              </w:numPr>
              <w:overflowPunct/>
              <w:autoSpaceDE/>
              <w:autoSpaceDN/>
              <w:adjustRightInd/>
              <w:spacing w:before="100" w:beforeAutospacing="1" w:after="100" w:afterAutospacing="1" w:line="240" w:lineRule="auto"/>
              <w:jc w:val="left"/>
              <w:textAlignment w:val="auto"/>
            </w:pPr>
            <w:r>
              <w:t>quality assurance and operational readiness for future service lines.</w:t>
            </w:r>
          </w:p>
          <w:p w14:paraId="1E7B6A21" w14:textId="77777777" w:rsidR="00FD7B9C" w:rsidRDefault="00FD7B9C" w:rsidP="00FD7B9C">
            <w:pPr>
              <w:pStyle w:val="StandardWeb"/>
              <w:numPr>
                <w:ilvl w:val="0"/>
                <w:numId w:val="105"/>
              </w:numPr>
              <w:overflowPunct/>
              <w:autoSpaceDE/>
              <w:autoSpaceDN/>
              <w:adjustRightInd/>
              <w:spacing w:before="100" w:beforeAutospacing="1" w:after="100" w:afterAutospacing="1" w:line="240" w:lineRule="auto"/>
              <w:jc w:val="left"/>
              <w:textAlignment w:val="auto"/>
            </w:pPr>
            <w:r>
              <w:rPr>
                <w:rStyle w:val="Fett"/>
              </w:rPr>
              <w:t>Ecosystem &amp; Platform Development (approximately 30–40%)</w:t>
            </w:r>
          </w:p>
          <w:p w14:paraId="7FA330AD" w14:textId="77777777" w:rsidR="00FD7B9C" w:rsidRDefault="00FD7B9C" w:rsidP="00FD7B9C">
            <w:pPr>
              <w:pStyle w:val="StandardWeb"/>
              <w:numPr>
                <w:ilvl w:val="1"/>
                <w:numId w:val="105"/>
              </w:numPr>
              <w:overflowPunct/>
              <w:autoSpaceDE/>
              <w:autoSpaceDN/>
              <w:adjustRightInd/>
              <w:spacing w:before="100" w:beforeAutospacing="1" w:after="100" w:afterAutospacing="1" w:line="240" w:lineRule="auto"/>
              <w:jc w:val="left"/>
              <w:textAlignment w:val="auto"/>
            </w:pPr>
            <w:r>
              <w:lastRenderedPageBreak/>
              <w:t>development and operation of the WYND App, booking and reservation infrastructure;</w:t>
            </w:r>
          </w:p>
          <w:p w14:paraId="328F61FF" w14:textId="77777777" w:rsidR="00FD7B9C" w:rsidRDefault="00FD7B9C" w:rsidP="00FD7B9C">
            <w:pPr>
              <w:pStyle w:val="StandardWeb"/>
              <w:numPr>
                <w:ilvl w:val="1"/>
                <w:numId w:val="105"/>
              </w:numPr>
              <w:overflowPunct/>
              <w:autoSpaceDE/>
              <w:autoSpaceDN/>
              <w:adjustRightInd/>
              <w:spacing w:before="100" w:beforeAutospacing="1" w:after="100" w:afterAutospacing="1" w:line="240" w:lineRule="auto"/>
              <w:jc w:val="left"/>
              <w:textAlignment w:val="auto"/>
            </w:pPr>
            <w:r>
              <w:t>implementation and maintenance of staking dashboards, membership tiers and customer interfaces;</w:t>
            </w:r>
          </w:p>
          <w:p w14:paraId="41AF44EF" w14:textId="77777777" w:rsidR="00FD7B9C" w:rsidRDefault="00FD7B9C" w:rsidP="00FD7B9C">
            <w:pPr>
              <w:pStyle w:val="StandardWeb"/>
              <w:numPr>
                <w:ilvl w:val="1"/>
                <w:numId w:val="105"/>
              </w:numPr>
              <w:overflowPunct/>
              <w:autoSpaceDE/>
              <w:autoSpaceDN/>
              <w:adjustRightInd/>
              <w:spacing w:before="100" w:beforeAutospacing="1" w:after="100" w:afterAutospacing="1" w:line="240" w:lineRule="auto"/>
              <w:jc w:val="left"/>
              <w:textAlignment w:val="auto"/>
            </w:pPr>
            <w:r>
              <w:t>back-end systems and service-management infrastructure required to administer token-based access and bookings.</w:t>
            </w:r>
          </w:p>
          <w:p w14:paraId="7BF461BB" w14:textId="77777777" w:rsidR="00FD7B9C" w:rsidRDefault="00FD7B9C" w:rsidP="00FD7B9C">
            <w:pPr>
              <w:pStyle w:val="StandardWeb"/>
              <w:numPr>
                <w:ilvl w:val="0"/>
                <w:numId w:val="105"/>
              </w:numPr>
              <w:overflowPunct/>
              <w:autoSpaceDE/>
              <w:autoSpaceDN/>
              <w:adjustRightInd/>
              <w:spacing w:before="100" w:beforeAutospacing="1" w:after="100" w:afterAutospacing="1" w:line="240" w:lineRule="auto"/>
              <w:jc w:val="left"/>
              <w:textAlignment w:val="auto"/>
            </w:pPr>
            <w:r>
              <w:rPr>
                <w:rStyle w:val="Fett"/>
              </w:rPr>
              <w:t>Marketing &amp; Community Building (approximately 10–20%)</w:t>
            </w:r>
          </w:p>
          <w:p w14:paraId="69564C20" w14:textId="77777777" w:rsidR="00FD7B9C" w:rsidRDefault="00FD7B9C" w:rsidP="00FD7B9C">
            <w:pPr>
              <w:pStyle w:val="StandardWeb"/>
              <w:numPr>
                <w:ilvl w:val="1"/>
                <w:numId w:val="105"/>
              </w:numPr>
              <w:overflowPunct/>
              <w:autoSpaceDE/>
              <w:autoSpaceDN/>
              <w:adjustRightInd/>
              <w:spacing w:before="100" w:beforeAutospacing="1" w:after="100" w:afterAutospacing="1" w:line="240" w:lineRule="auto"/>
              <w:jc w:val="left"/>
              <w:textAlignment w:val="auto"/>
            </w:pPr>
            <w:r>
              <w:t>brand building and international marketing campaigns;</w:t>
            </w:r>
          </w:p>
          <w:p w14:paraId="2EB357F2" w14:textId="77777777" w:rsidR="00FD7B9C" w:rsidRDefault="00FD7B9C" w:rsidP="00FD7B9C">
            <w:pPr>
              <w:pStyle w:val="StandardWeb"/>
              <w:numPr>
                <w:ilvl w:val="1"/>
                <w:numId w:val="105"/>
              </w:numPr>
              <w:overflowPunct/>
              <w:autoSpaceDE/>
              <w:autoSpaceDN/>
              <w:adjustRightInd/>
              <w:spacing w:before="100" w:beforeAutospacing="1" w:after="100" w:afterAutospacing="1" w:line="240" w:lineRule="auto"/>
              <w:jc w:val="left"/>
              <w:textAlignment w:val="auto"/>
            </w:pPr>
            <w:r>
              <w:t>community programmes, events and digital communication materials;</w:t>
            </w:r>
          </w:p>
          <w:p w14:paraId="31419D1B" w14:textId="77777777" w:rsidR="00FD7B9C" w:rsidRDefault="00FD7B9C" w:rsidP="00FD7B9C">
            <w:pPr>
              <w:pStyle w:val="StandardWeb"/>
              <w:numPr>
                <w:ilvl w:val="1"/>
                <w:numId w:val="105"/>
              </w:numPr>
              <w:overflowPunct/>
              <w:autoSpaceDE/>
              <w:autoSpaceDN/>
              <w:adjustRightInd/>
              <w:spacing w:before="100" w:beforeAutospacing="1" w:after="100" w:afterAutospacing="1" w:line="240" w:lineRule="auto"/>
              <w:jc w:val="left"/>
              <w:textAlignment w:val="auto"/>
            </w:pPr>
            <w:r>
              <w:t>customer and member acquisition for the WYND ecosystem.</w:t>
            </w:r>
          </w:p>
          <w:p w14:paraId="3D34E582" w14:textId="77777777" w:rsidR="00FD7B9C" w:rsidRDefault="00FD7B9C" w:rsidP="00FD7B9C">
            <w:pPr>
              <w:pStyle w:val="StandardWeb"/>
              <w:numPr>
                <w:ilvl w:val="0"/>
                <w:numId w:val="105"/>
              </w:numPr>
              <w:overflowPunct/>
              <w:autoSpaceDE/>
              <w:autoSpaceDN/>
              <w:adjustRightInd/>
              <w:spacing w:before="100" w:beforeAutospacing="1" w:after="100" w:afterAutospacing="1" w:line="240" w:lineRule="auto"/>
              <w:jc w:val="left"/>
              <w:textAlignment w:val="auto"/>
            </w:pPr>
            <w:r>
              <w:rPr>
                <w:rStyle w:val="Fett"/>
              </w:rPr>
              <w:t>Legal, Regulatory, Compliance &amp; Governance (approximately 5–10%)</w:t>
            </w:r>
          </w:p>
          <w:p w14:paraId="315577C1" w14:textId="77777777" w:rsidR="00FD7B9C" w:rsidRDefault="00FD7B9C" w:rsidP="00FD7B9C">
            <w:pPr>
              <w:pStyle w:val="StandardWeb"/>
              <w:numPr>
                <w:ilvl w:val="1"/>
                <w:numId w:val="105"/>
              </w:numPr>
              <w:overflowPunct/>
              <w:autoSpaceDE/>
              <w:autoSpaceDN/>
              <w:adjustRightInd/>
              <w:spacing w:before="100" w:beforeAutospacing="1" w:after="100" w:afterAutospacing="1" w:line="240" w:lineRule="auto"/>
              <w:jc w:val="left"/>
              <w:textAlignment w:val="auto"/>
            </w:pPr>
            <w:r>
              <w:t>fulfilment of MiCA-related obligations, including documentation and reporting;</w:t>
            </w:r>
          </w:p>
          <w:p w14:paraId="36E0048D" w14:textId="77777777" w:rsidR="00FD7B9C" w:rsidRDefault="00FD7B9C" w:rsidP="00FD7B9C">
            <w:pPr>
              <w:pStyle w:val="StandardWeb"/>
              <w:numPr>
                <w:ilvl w:val="1"/>
                <w:numId w:val="105"/>
              </w:numPr>
              <w:overflowPunct/>
              <w:autoSpaceDE/>
              <w:autoSpaceDN/>
              <w:adjustRightInd/>
              <w:spacing w:before="100" w:beforeAutospacing="1" w:after="100" w:afterAutospacing="1" w:line="240" w:lineRule="auto"/>
              <w:jc w:val="left"/>
              <w:textAlignment w:val="auto"/>
            </w:pPr>
            <w:r>
              <w:t>legal reviews, audits and advisory services;</w:t>
            </w:r>
          </w:p>
          <w:p w14:paraId="4B1B5C1B" w14:textId="77777777" w:rsidR="00FD7B9C" w:rsidRDefault="00FD7B9C" w:rsidP="00FD7B9C">
            <w:pPr>
              <w:pStyle w:val="StandardWeb"/>
              <w:numPr>
                <w:ilvl w:val="1"/>
                <w:numId w:val="105"/>
              </w:numPr>
              <w:overflowPunct/>
              <w:autoSpaceDE/>
              <w:autoSpaceDN/>
              <w:adjustRightInd/>
              <w:spacing w:before="100" w:beforeAutospacing="1" w:after="100" w:afterAutospacing="1" w:line="240" w:lineRule="auto"/>
              <w:jc w:val="left"/>
              <w:textAlignment w:val="auto"/>
            </w:pPr>
            <w:r>
              <w:t>cybersecurity, smart-contract verification and operational risk controls;</w:t>
            </w:r>
          </w:p>
          <w:p w14:paraId="73A94B33" w14:textId="77777777" w:rsidR="00FD7B9C" w:rsidRDefault="00FD7B9C" w:rsidP="00FD7B9C">
            <w:pPr>
              <w:pStyle w:val="StandardWeb"/>
              <w:numPr>
                <w:ilvl w:val="1"/>
                <w:numId w:val="105"/>
              </w:numPr>
              <w:overflowPunct/>
              <w:autoSpaceDE/>
              <w:autoSpaceDN/>
              <w:adjustRightInd/>
              <w:spacing w:before="100" w:beforeAutospacing="1" w:after="100" w:afterAutospacing="1" w:line="240" w:lineRule="auto"/>
              <w:jc w:val="left"/>
              <w:textAlignment w:val="auto"/>
            </w:pPr>
            <w:r>
              <w:t>sustainability-related reporting where applicable (e.g. under EU Regulation 2025/422).</w:t>
            </w:r>
          </w:p>
          <w:p w14:paraId="40B6EA19" w14:textId="77777777" w:rsidR="00FD7B9C" w:rsidRDefault="00FD7B9C" w:rsidP="00FD7B9C">
            <w:pPr>
              <w:pStyle w:val="StandardWeb"/>
              <w:numPr>
                <w:ilvl w:val="0"/>
                <w:numId w:val="105"/>
              </w:numPr>
              <w:overflowPunct/>
              <w:autoSpaceDE/>
              <w:autoSpaceDN/>
              <w:adjustRightInd/>
              <w:spacing w:before="100" w:beforeAutospacing="1" w:after="100" w:afterAutospacing="1" w:line="240" w:lineRule="auto"/>
              <w:jc w:val="left"/>
              <w:textAlignment w:val="auto"/>
            </w:pPr>
            <w:r>
              <w:rPr>
                <w:rStyle w:val="Fett"/>
              </w:rPr>
              <w:t>General Corporate Purposes &amp; Resilience (remaining portion)</w:t>
            </w:r>
          </w:p>
          <w:p w14:paraId="443FA39D" w14:textId="77777777" w:rsidR="00FD7B9C" w:rsidRDefault="00FD7B9C" w:rsidP="00FD7B9C">
            <w:pPr>
              <w:pStyle w:val="StandardWeb"/>
              <w:numPr>
                <w:ilvl w:val="1"/>
                <w:numId w:val="105"/>
              </w:numPr>
              <w:overflowPunct/>
              <w:autoSpaceDE/>
              <w:autoSpaceDN/>
              <w:adjustRightInd/>
              <w:spacing w:before="100" w:beforeAutospacing="1" w:after="100" w:afterAutospacing="1" w:line="240" w:lineRule="auto"/>
              <w:jc w:val="left"/>
              <w:textAlignment w:val="auto"/>
            </w:pPr>
            <w:r>
              <w:t>corporate liquidity reserves and operational continuity;</w:t>
            </w:r>
          </w:p>
          <w:p w14:paraId="58749267" w14:textId="77777777" w:rsidR="00FD7B9C" w:rsidRDefault="00FD7B9C" w:rsidP="00FD7B9C">
            <w:pPr>
              <w:pStyle w:val="StandardWeb"/>
              <w:numPr>
                <w:ilvl w:val="1"/>
                <w:numId w:val="105"/>
              </w:numPr>
              <w:overflowPunct/>
              <w:autoSpaceDE/>
              <w:autoSpaceDN/>
              <w:adjustRightInd/>
              <w:spacing w:before="100" w:beforeAutospacing="1" w:after="100" w:afterAutospacing="1" w:line="240" w:lineRule="auto"/>
              <w:jc w:val="left"/>
              <w:textAlignment w:val="auto"/>
            </w:pPr>
            <w:r>
              <w:t>administrative expenses strictly related to the WYND digital ecosystem;</w:t>
            </w:r>
          </w:p>
          <w:p w14:paraId="0B21677E" w14:textId="77777777" w:rsidR="00FD7B9C" w:rsidRDefault="00FD7B9C" w:rsidP="00FD7B9C">
            <w:pPr>
              <w:pStyle w:val="StandardWeb"/>
              <w:numPr>
                <w:ilvl w:val="1"/>
                <w:numId w:val="105"/>
              </w:numPr>
              <w:overflowPunct/>
              <w:autoSpaceDE/>
              <w:autoSpaceDN/>
              <w:adjustRightInd/>
              <w:spacing w:before="100" w:beforeAutospacing="1" w:after="100" w:afterAutospacing="1" w:line="240" w:lineRule="auto"/>
              <w:jc w:val="left"/>
              <w:textAlignment w:val="auto"/>
            </w:pPr>
            <w:r>
              <w:t>maintenance of a prudential treasury reserve to support the long-term stability of the project.</w:t>
            </w:r>
          </w:p>
          <w:p w14:paraId="1B8BF9BC" w14:textId="77777777" w:rsidR="00FD7B9C" w:rsidRDefault="00FD7B9C" w:rsidP="00FD7B9C">
            <w:pPr>
              <w:pStyle w:val="StandardWeb"/>
            </w:pPr>
            <w:r>
              <w:t>WYND Utility Token holders do not obtain any form of asset ownership, profit-sharing, financial participation, or claim on any yacht, vessel or its financing structure. The issuer will not use the collected funds for proprietary trading, lending or leverage strategies, nor for any purpose that would alter the regulatory classification of the WYND Utility Token.</w:t>
            </w:r>
          </w:p>
          <w:bookmarkEnd w:id="167"/>
          <w:p w14:paraId="3B7AFFBF" w14:textId="77777777" w:rsidR="00C02898" w:rsidRPr="002E4D67" w:rsidRDefault="00C02898" w:rsidP="002A1CC9">
            <w:pPr>
              <w:pStyle w:val="Textkrper"/>
              <w:jc w:val="left"/>
              <w:rPr>
                <w:rFonts w:cstheme="minorHAnsi"/>
                <w:highlight w:val="yellow"/>
                <w:lang w:val="en-US"/>
              </w:rPr>
            </w:pPr>
          </w:p>
        </w:tc>
      </w:tr>
      <w:tr w:rsidR="00C02898" w:rsidRPr="002E4D67" w14:paraId="71C26F5B" w14:textId="77777777" w:rsidTr="00B966B9">
        <w:tc>
          <w:tcPr>
            <w:tcW w:w="8356" w:type="dxa"/>
            <w:gridSpan w:val="2"/>
          </w:tcPr>
          <w:p w14:paraId="1C5B330E" w14:textId="0E5BD473" w:rsidR="00C02898" w:rsidRPr="002E4D67" w:rsidRDefault="00C02898" w:rsidP="00C02898">
            <w:pPr>
              <w:pStyle w:val="berschrift1"/>
              <w:rPr>
                <w:lang w:val="en-US"/>
              </w:rPr>
            </w:pPr>
            <w:bookmarkStart w:id="168" w:name="_Toc213179143"/>
            <w:r w:rsidRPr="002E4D67">
              <w:rPr>
                <w:lang w:val="en-US"/>
              </w:rPr>
              <w:lastRenderedPageBreak/>
              <w:t>Part E – Information about the offer of crypto-assets to the public of crypto-assets or their admission to trading</w:t>
            </w:r>
            <w:bookmarkEnd w:id="168"/>
          </w:p>
        </w:tc>
      </w:tr>
      <w:tr w:rsidR="00C02898" w:rsidRPr="002E4D67" w14:paraId="04A97241" w14:textId="77777777" w:rsidTr="00D64090">
        <w:tc>
          <w:tcPr>
            <w:tcW w:w="1985" w:type="dxa"/>
          </w:tcPr>
          <w:p w14:paraId="4D461DFA" w14:textId="0CA94551" w:rsidR="00C02898" w:rsidRPr="002E4D67" w:rsidRDefault="00C02898" w:rsidP="00C02898">
            <w:pPr>
              <w:pStyle w:val="berschrift1"/>
              <w:keepNext w:val="0"/>
              <w:keepLines w:val="0"/>
              <w:rPr>
                <w:lang w:val="en-US"/>
              </w:rPr>
            </w:pPr>
            <w:bookmarkStart w:id="169" w:name="_Toc212017871"/>
            <w:bookmarkStart w:id="170" w:name="_Toc213164161"/>
            <w:bookmarkStart w:id="171" w:name="_Toc213179144"/>
            <w:r w:rsidRPr="002E4D67">
              <w:rPr>
                <w:lang w:val="en-US"/>
              </w:rPr>
              <w:t>E.1 Public offering or admission to trading</w:t>
            </w:r>
            <w:bookmarkEnd w:id="169"/>
            <w:bookmarkEnd w:id="170"/>
            <w:bookmarkEnd w:id="171"/>
          </w:p>
        </w:tc>
        <w:tc>
          <w:tcPr>
            <w:tcW w:w="6371" w:type="dxa"/>
          </w:tcPr>
          <w:p w14:paraId="15F8CBA7" w14:textId="77777777" w:rsidR="00C02898" w:rsidRPr="002E4D67" w:rsidRDefault="00C02898" w:rsidP="00C02898">
            <w:pPr>
              <w:pStyle w:val="Textkrper"/>
              <w:rPr>
                <w:rFonts w:cstheme="minorHAnsi"/>
                <w:lang w:val="en-US"/>
              </w:rPr>
            </w:pPr>
            <w:r w:rsidRPr="002E4D67">
              <w:rPr>
                <w:rFonts w:cstheme="minorHAnsi"/>
                <w:lang w:val="en-US"/>
              </w:rPr>
              <w:t>OTPC (offer to the public)</w:t>
            </w:r>
          </w:p>
        </w:tc>
      </w:tr>
      <w:tr w:rsidR="00C02898" w:rsidRPr="002E4D67" w14:paraId="7E9B5554" w14:textId="77777777" w:rsidTr="00D64090">
        <w:tc>
          <w:tcPr>
            <w:tcW w:w="1985" w:type="dxa"/>
          </w:tcPr>
          <w:p w14:paraId="17A1EDFD" w14:textId="5AC49437" w:rsidR="00C02898" w:rsidRPr="002E4D67" w:rsidRDefault="00C02898" w:rsidP="00C02898">
            <w:pPr>
              <w:pStyle w:val="berschrift1"/>
              <w:keepNext w:val="0"/>
              <w:keepLines w:val="0"/>
              <w:rPr>
                <w:lang w:val="en-US"/>
              </w:rPr>
            </w:pPr>
            <w:bookmarkStart w:id="172" w:name="_Toc212017873"/>
            <w:bookmarkStart w:id="173" w:name="_Toc213164162"/>
            <w:bookmarkStart w:id="174" w:name="_Toc213179145"/>
            <w:r w:rsidRPr="002E4D67">
              <w:rPr>
                <w:lang w:val="en-US"/>
              </w:rPr>
              <w:t>E.2 Reasons for public offer or admission to trading</w:t>
            </w:r>
            <w:bookmarkEnd w:id="172"/>
            <w:bookmarkEnd w:id="173"/>
            <w:bookmarkEnd w:id="174"/>
          </w:p>
        </w:tc>
        <w:tc>
          <w:tcPr>
            <w:tcW w:w="6371" w:type="dxa"/>
          </w:tcPr>
          <w:p w14:paraId="7D72C25C" w14:textId="77777777" w:rsidR="002E2530" w:rsidRDefault="002E2530" w:rsidP="002A1CC9">
            <w:pPr>
              <w:pStyle w:val="StandardWeb"/>
            </w:pPr>
            <w:r>
              <w:t>The purpose of the public offer of the WYND Utility Token is to provide purchasers with a digital access and payment instrument for services within the WYND ecosystem. The token is a MiCAR-compliant utility token and does not constitute e-money, a financial instrument or a deposit</w:t>
            </w:r>
          </w:p>
          <w:p w14:paraId="565A1E97" w14:textId="5A2FF910" w:rsidR="002A1CC9" w:rsidRPr="002E4D67" w:rsidRDefault="002A1CC9" w:rsidP="002A1CC9">
            <w:pPr>
              <w:pStyle w:val="StandardWeb"/>
              <w:rPr>
                <w:lang w:val="en-US"/>
              </w:rPr>
            </w:pPr>
            <w:r w:rsidRPr="002E4D67">
              <w:rPr>
                <w:rStyle w:val="Fett"/>
                <w:lang w:val="en-US"/>
              </w:rPr>
              <w:t>The public offer is therefore conducted to:</w:t>
            </w:r>
          </w:p>
          <w:p w14:paraId="5A547B84" w14:textId="77777777" w:rsidR="002A1CC9" w:rsidRPr="002E4D67" w:rsidRDefault="002A1CC9" w:rsidP="002A1CC9">
            <w:pPr>
              <w:pStyle w:val="StandardWeb"/>
              <w:numPr>
                <w:ilvl w:val="0"/>
                <w:numId w:val="53"/>
              </w:numPr>
              <w:overflowPunct/>
              <w:autoSpaceDE/>
              <w:autoSpaceDN/>
              <w:adjustRightInd/>
              <w:spacing w:before="100" w:beforeAutospacing="1" w:after="100" w:afterAutospacing="1" w:line="240" w:lineRule="auto"/>
              <w:jc w:val="left"/>
              <w:textAlignment w:val="auto"/>
              <w:rPr>
                <w:lang w:val="en-US"/>
              </w:rPr>
            </w:pPr>
            <w:r w:rsidRPr="002E4D67">
              <w:rPr>
                <w:rStyle w:val="Fett"/>
                <w:lang w:val="en-US"/>
              </w:rPr>
              <w:t>Enable early access to services</w:t>
            </w:r>
            <w:r w:rsidRPr="002E4D67">
              <w:rPr>
                <w:lang w:val="en-US"/>
              </w:rPr>
              <w:t xml:space="preserve"> through a standardized, blockchain-based utility token.</w:t>
            </w:r>
          </w:p>
          <w:p w14:paraId="76137009" w14:textId="77777777" w:rsidR="002A1CC9" w:rsidRPr="002E4D67" w:rsidRDefault="002A1CC9" w:rsidP="002A1CC9">
            <w:pPr>
              <w:pStyle w:val="StandardWeb"/>
              <w:numPr>
                <w:ilvl w:val="0"/>
                <w:numId w:val="53"/>
              </w:numPr>
              <w:overflowPunct/>
              <w:autoSpaceDE/>
              <w:autoSpaceDN/>
              <w:adjustRightInd/>
              <w:spacing w:before="100" w:beforeAutospacing="1" w:after="100" w:afterAutospacing="1" w:line="240" w:lineRule="auto"/>
              <w:jc w:val="left"/>
              <w:textAlignment w:val="auto"/>
              <w:rPr>
                <w:lang w:val="en-US"/>
              </w:rPr>
            </w:pPr>
            <w:r w:rsidRPr="002E4D67">
              <w:rPr>
                <w:rStyle w:val="Fett"/>
                <w:lang w:val="en-US"/>
              </w:rPr>
              <w:t>Provide a digital mechanism for pre-booking and pre-purchasing services</w:t>
            </w:r>
            <w:r w:rsidRPr="002E4D67">
              <w:rPr>
                <w:lang w:val="en-US"/>
              </w:rPr>
              <w:t>, including future yacht-related offerings once available.</w:t>
            </w:r>
          </w:p>
          <w:p w14:paraId="62BDF77D" w14:textId="77777777" w:rsidR="002A1CC9" w:rsidRPr="002E4D67" w:rsidRDefault="002A1CC9" w:rsidP="002A1CC9">
            <w:pPr>
              <w:pStyle w:val="StandardWeb"/>
              <w:numPr>
                <w:ilvl w:val="0"/>
                <w:numId w:val="53"/>
              </w:numPr>
              <w:overflowPunct/>
              <w:autoSpaceDE/>
              <w:autoSpaceDN/>
              <w:adjustRightInd/>
              <w:spacing w:before="100" w:beforeAutospacing="1" w:after="100" w:afterAutospacing="1" w:line="240" w:lineRule="auto"/>
              <w:jc w:val="left"/>
              <w:textAlignment w:val="auto"/>
              <w:rPr>
                <w:lang w:val="en-US"/>
              </w:rPr>
            </w:pPr>
            <w:r w:rsidRPr="002E4D67">
              <w:rPr>
                <w:rStyle w:val="Fett"/>
                <w:lang w:val="en-US"/>
              </w:rPr>
              <w:t>Support the development and delivery of the WYND service ecosystem</w:t>
            </w:r>
            <w:r w:rsidRPr="002E4D67">
              <w:rPr>
                <w:lang w:val="en-US"/>
              </w:rPr>
              <w:t>, including booking infrastructure, operational readiness, and customer experience.</w:t>
            </w:r>
          </w:p>
          <w:p w14:paraId="2CCC57BE" w14:textId="77777777" w:rsidR="002A1CC9" w:rsidRPr="002E4D67" w:rsidRDefault="002A1CC9" w:rsidP="002A1CC9">
            <w:pPr>
              <w:pStyle w:val="StandardWeb"/>
              <w:numPr>
                <w:ilvl w:val="0"/>
                <w:numId w:val="53"/>
              </w:numPr>
              <w:overflowPunct/>
              <w:autoSpaceDE/>
              <w:autoSpaceDN/>
              <w:adjustRightInd/>
              <w:spacing w:before="100" w:beforeAutospacing="1" w:after="100" w:afterAutospacing="1" w:line="240" w:lineRule="auto"/>
              <w:jc w:val="left"/>
              <w:textAlignment w:val="auto"/>
              <w:rPr>
                <w:lang w:val="en-US"/>
              </w:rPr>
            </w:pPr>
            <w:r w:rsidRPr="002E4D67">
              <w:rPr>
                <w:rStyle w:val="Fett"/>
                <w:lang w:val="en-US"/>
              </w:rPr>
              <w:t>Facilitate the use of $WYND as a payment method</w:t>
            </w:r>
            <w:r w:rsidRPr="002E4D67">
              <w:rPr>
                <w:lang w:val="en-US"/>
              </w:rPr>
              <w:t>, offering token holders a 15% discount compared to fiat payments.</w:t>
            </w:r>
          </w:p>
          <w:p w14:paraId="364EEBFD" w14:textId="77777777" w:rsidR="002A1CC9" w:rsidRPr="002E4D67" w:rsidRDefault="002A1CC9" w:rsidP="002A1CC9">
            <w:pPr>
              <w:pStyle w:val="StandardWeb"/>
              <w:numPr>
                <w:ilvl w:val="0"/>
                <w:numId w:val="53"/>
              </w:numPr>
              <w:overflowPunct/>
              <w:autoSpaceDE/>
              <w:autoSpaceDN/>
              <w:adjustRightInd/>
              <w:spacing w:before="100" w:beforeAutospacing="1" w:after="100" w:afterAutospacing="1" w:line="240" w:lineRule="auto"/>
              <w:jc w:val="left"/>
              <w:textAlignment w:val="auto"/>
              <w:rPr>
                <w:lang w:val="en-US"/>
              </w:rPr>
            </w:pPr>
            <w:r w:rsidRPr="002E4D67">
              <w:rPr>
                <w:rStyle w:val="Fett"/>
                <w:lang w:val="en-US"/>
              </w:rPr>
              <w:t>Build a global user community</w:t>
            </w:r>
            <w:r w:rsidRPr="002E4D67">
              <w:rPr>
                <w:lang w:val="en-US"/>
              </w:rPr>
              <w:t xml:space="preserve"> around the WYND ecosystem.</w:t>
            </w:r>
          </w:p>
          <w:p w14:paraId="624EA84C" w14:textId="0BE86620" w:rsidR="00C02898" w:rsidRPr="002E4D67" w:rsidRDefault="002A1CC9" w:rsidP="002A1CC9">
            <w:pPr>
              <w:pStyle w:val="StandardWeb"/>
              <w:rPr>
                <w:lang w:val="en-US"/>
              </w:rPr>
            </w:pPr>
            <w:r w:rsidRPr="002E4D67">
              <w:rPr>
                <w:rStyle w:val="Fett"/>
                <w:lang w:val="en-US"/>
              </w:rPr>
              <w:t>The WYND Utility Token does not finance the construction of the WYND superyacht and does not constitute an investment or profit-participation instrument. The yacht is financed exclusively through WYND Bonds issued by MD Capital GmbH. Token proceeds represent operational revenue arising from the pre-sale of services.</w:t>
            </w:r>
          </w:p>
        </w:tc>
      </w:tr>
      <w:tr w:rsidR="00C02898" w:rsidRPr="002E4D67" w14:paraId="7FA87497" w14:textId="77777777" w:rsidTr="00D64090">
        <w:tc>
          <w:tcPr>
            <w:tcW w:w="1985" w:type="dxa"/>
          </w:tcPr>
          <w:p w14:paraId="4220AC23" w14:textId="3BD38167" w:rsidR="00C02898" w:rsidRPr="002E4D67" w:rsidRDefault="00C02898" w:rsidP="00C02898">
            <w:pPr>
              <w:pStyle w:val="berschrift1"/>
              <w:keepNext w:val="0"/>
              <w:keepLines w:val="0"/>
              <w:rPr>
                <w:lang w:val="en-US"/>
              </w:rPr>
            </w:pPr>
            <w:bookmarkStart w:id="175" w:name="_Toc212017875"/>
            <w:bookmarkStart w:id="176" w:name="_Toc213164163"/>
            <w:bookmarkStart w:id="177" w:name="_Toc213179146"/>
            <w:r w:rsidRPr="002E4D67">
              <w:rPr>
                <w:lang w:val="en-US"/>
              </w:rPr>
              <w:t>E.3 Fundraising target</w:t>
            </w:r>
            <w:bookmarkEnd w:id="175"/>
            <w:bookmarkEnd w:id="176"/>
            <w:bookmarkEnd w:id="177"/>
          </w:p>
        </w:tc>
        <w:tc>
          <w:tcPr>
            <w:tcW w:w="6371" w:type="dxa"/>
          </w:tcPr>
          <w:p w14:paraId="7A789992" w14:textId="77777777" w:rsidR="00C02898" w:rsidRPr="002E4D67" w:rsidRDefault="00C02898" w:rsidP="00C02898">
            <w:pPr>
              <w:pStyle w:val="Textkrper"/>
              <w:rPr>
                <w:rFonts w:cstheme="minorHAnsi"/>
                <w:color w:val="000000" w:themeColor="text1"/>
                <w:lang w:val="en-US"/>
              </w:rPr>
            </w:pPr>
            <w:r w:rsidRPr="002E4D67">
              <w:rPr>
                <w:rFonts w:cstheme="minorHAnsi"/>
                <w:color w:val="000000" w:themeColor="text1"/>
                <w:u w:val="double" w:color="0000FF"/>
                <w:lang w:val="en-US"/>
              </w:rPr>
              <w:t>USD 11.000.000</w:t>
            </w:r>
          </w:p>
        </w:tc>
      </w:tr>
      <w:tr w:rsidR="00C02898" w:rsidRPr="002E4D67" w14:paraId="36F2E129" w14:textId="77777777" w:rsidTr="00D64090">
        <w:tc>
          <w:tcPr>
            <w:tcW w:w="1985" w:type="dxa"/>
          </w:tcPr>
          <w:p w14:paraId="649CEFE7" w14:textId="4E0B2F5E" w:rsidR="00C02898" w:rsidRPr="002E4D67" w:rsidRDefault="00C02898" w:rsidP="00C02898">
            <w:pPr>
              <w:pStyle w:val="berschrift1"/>
              <w:keepNext w:val="0"/>
              <w:keepLines w:val="0"/>
              <w:rPr>
                <w:lang w:val="en-US"/>
              </w:rPr>
            </w:pPr>
            <w:bookmarkStart w:id="178" w:name="_Toc212017877"/>
            <w:bookmarkStart w:id="179" w:name="_Toc213164164"/>
            <w:bookmarkStart w:id="180" w:name="_Toc213179147"/>
            <w:r w:rsidRPr="002E4D67">
              <w:rPr>
                <w:lang w:val="en-US"/>
              </w:rPr>
              <w:t>E.4 Minimum subscription goals</w:t>
            </w:r>
            <w:bookmarkEnd w:id="178"/>
            <w:bookmarkEnd w:id="179"/>
            <w:bookmarkEnd w:id="180"/>
            <w:r w:rsidRPr="002E4D67">
              <w:rPr>
                <w:lang w:val="en-US"/>
              </w:rPr>
              <w:t xml:space="preserve"> </w:t>
            </w:r>
          </w:p>
        </w:tc>
        <w:tc>
          <w:tcPr>
            <w:tcW w:w="6371" w:type="dxa"/>
          </w:tcPr>
          <w:p w14:paraId="73AC602F" w14:textId="560A4B19" w:rsidR="00C02898" w:rsidRPr="002E4D67" w:rsidRDefault="00C02898" w:rsidP="00C02898">
            <w:pPr>
              <w:pStyle w:val="Textkrper"/>
              <w:rPr>
                <w:rFonts w:cstheme="minorHAnsi"/>
                <w:lang w:val="en-US"/>
              </w:rPr>
            </w:pPr>
            <w:r w:rsidRPr="002E4D67">
              <w:rPr>
                <w:rFonts w:cstheme="minorHAnsi"/>
                <w:color w:val="000000" w:themeColor="text1"/>
                <w:u w:val="double" w:color="0000FF"/>
                <w:lang w:val="en-US"/>
              </w:rPr>
              <w:t xml:space="preserve">Not applicable. </w:t>
            </w:r>
          </w:p>
        </w:tc>
      </w:tr>
      <w:tr w:rsidR="00C02898" w:rsidRPr="002E4D67" w14:paraId="6EDE61D9" w14:textId="77777777" w:rsidTr="00D64090">
        <w:tc>
          <w:tcPr>
            <w:tcW w:w="1985" w:type="dxa"/>
          </w:tcPr>
          <w:p w14:paraId="1819DB62" w14:textId="0BE8E80F" w:rsidR="00C02898" w:rsidRPr="002E4D67" w:rsidRDefault="00C02898" w:rsidP="00C02898">
            <w:pPr>
              <w:pStyle w:val="berschrift1"/>
              <w:keepNext w:val="0"/>
              <w:keepLines w:val="0"/>
              <w:rPr>
                <w:lang w:val="en-US"/>
              </w:rPr>
            </w:pPr>
            <w:bookmarkStart w:id="181" w:name="_Toc212017879"/>
            <w:bookmarkStart w:id="182" w:name="_Toc213164165"/>
            <w:bookmarkStart w:id="183" w:name="_Toc213179148"/>
            <w:r w:rsidRPr="002E4D67">
              <w:rPr>
                <w:lang w:val="en-US"/>
              </w:rPr>
              <w:t>E.5 Maximum subscription goal</w:t>
            </w:r>
            <w:bookmarkEnd w:id="181"/>
            <w:bookmarkEnd w:id="182"/>
            <w:bookmarkEnd w:id="183"/>
          </w:p>
        </w:tc>
        <w:tc>
          <w:tcPr>
            <w:tcW w:w="6371" w:type="dxa"/>
          </w:tcPr>
          <w:p w14:paraId="3302009D" w14:textId="77777777" w:rsidR="00C02898" w:rsidRPr="002E4D67" w:rsidRDefault="00C02898" w:rsidP="00C02898">
            <w:pPr>
              <w:pStyle w:val="Textkrper"/>
              <w:rPr>
                <w:rFonts w:cstheme="minorHAnsi"/>
                <w:lang w:val="en-US"/>
              </w:rPr>
            </w:pPr>
            <w:r w:rsidRPr="002E4D67">
              <w:rPr>
                <w:rFonts w:cstheme="minorHAnsi"/>
                <w:color w:val="000000" w:themeColor="text1"/>
                <w:u w:val="double" w:color="0000FF"/>
                <w:lang w:val="en-US"/>
              </w:rPr>
              <w:t>USD 11.000.000</w:t>
            </w:r>
          </w:p>
        </w:tc>
      </w:tr>
      <w:tr w:rsidR="00C02898" w:rsidRPr="002E4D67" w14:paraId="6D4CDF42" w14:textId="77777777" w:rsidTr="00D64090">
        <w:tc>
          <w:tcPr>
            <w:tcW w:w="1985" w:type="dxa"/>
          </w:tcPr>
          <w:p w14:paraId="50A75D67" w14:textId="00B98171" w:rsidR="00C02898" w:rsidRPr="002E4D67" w:rsidRDefault="00C02898" w:rsidP="00C02898">
            <w:pPr>
              <w:pStyle w:val="berschrift1"/>
              <w:keepNext w:val="0"/>
              <w:keepLines w:val="0"/>
              <w:rPr>
                <w:lang w:val="en-US"/>
              </w:rPr>
            </w:pPr>
            <w:bookmarkStart w:id="184" w:name="_Toc212017881"/>
            <w:bookmarkStart w:id="185" w:name="_Toc213164166"/>
            <w:bookmarkStart w:id="186" w:name="_Toc213179149"/>
            <w:r w:rsidRPr="002E4D67">
              <w:rPr>
                <w:lang w:val="en-US"/>
              </w:rPr>
              <w:lastRenderedPageBreak/>
              <w:t>E.6 Oversubscription acceptance</w:t>
            </w:r>
            <w:bookmarkEnd w:id="184"/>
            <w:bookmarkEnd w:id="185"/>
            <w:bookmarkEnd w:id="186"/>
          </w:p>
        </w:tc>
        <w:tc>
          <w:tcPr>
            <w:tcW w:w="6371" w:type="dxa"/>
          </w:tcPr>
          <w:p w14:paraId="3FB7127B" w14:textId="77777777" w:rsidR="00C02898" w:rsidRPr="002E4D67" w:rsidRDefault="00C02898" w:rsidP="00C02898">
            <w:pPr>
              <w:pStyle w:val="Textkrper"/>
              <w:rPr>
                <w:rFonts w:cstheme="minorHAnsi"/>
                <w:lang w:val="en-US"/>
              </w:rPr>
            </w:pPr>
            <w:r w:rsidRPr="002E4D67">
              <w:rPr>
                <w:rFonts w:cstheme="minorHAnsi"/>
                <w:lang w:val="en-US"/>
              </w:rPr>
              <w:t>False.</w:t>
            </w:r>
          </w:p>
        </w:tc>
      </w:tr>
      <w:tr w:rsidR="00C02898" w:rsidRPr="002E4D67" w14:paraId="4F4F1CD3" w14:textId="77777777" w:rsidTr="00D64090">
        <w:tc>
          <w:tcPr>
            <w:tcW w:w="1985" w:type="dxa"/>
          </w:tcPr>
          <w:p w14:paraId="494F177F" w14:textId="04B45412" w:rsidR="00C02898" w:rsidRPr="002E4D67" w:rsidRDefault="00C02898" w:rsidP="00C02898">
            <w:pPr>
              <w:pStyle w:val="berschrift1"/>
              <w:keepNext w:val="0"/>
              <w:keepLines w:val="0"/>
              <w:rPr>
                <w:lang w:val="en-US"/>
              </w:rPr>
            </w:pPr>
            <w:bookmarkStart w:id="187" w:name="_Toc212017883"/>
            <w:bookmarkStart w:id="188" w:name="_Toc213164167"/>
            <w:bookmarkStart w:id="189" w:name="_Toc213179150"/>
            <w:r w:rsidRPr="002E4D67">
              <w:rPr>
                <w:lang w:val="en-US"/>
              </w:rPr>
              <w:t>E.7 Oversubscription allocation</w:t>
            </w:r>
            <w:bookmarkEnd w:id="187"/>
            <w:bookmarkEnd w:id="188"/>
            <w:bookmarkEnd w:id="189"/>
          </w:p>
        </w:tc>
        <w:tc>
          <w:tcPr>
            <w:tcW w:w="6371" w:type="dxa"/>
          </w:tcPr>
          <w:p w14:paraId="7A454AAF" w14:textId="77777777" w:rsidR="00C02898" w:rsidRPr="002E4D67" w:rsidRDefault="00C02898" w:rsidP="00C02898">
            <w:pPr>
              <w:pStyle w:val="Textkrper"/>
              <w:rPr>
                <w:rFonts w:cstheme="minorHAnsi"/>
                <w:lang w:val="en-US"/>
              </w:rPr>
            </w:pPr>
            <w:r w:rsidRPr="002E4D67">
              <w:rPr>
                <w:rFonts w:cstheme="minorHAnsi"/>
                <w:lang w:val="en-US"/>
              </w:rPr>
              <w:t>Not applicable.</w:t>
            </w:r>
          </w:p>
        </w:tc>
      </w:tr>
      <w:tr w:rsidR="00E03612" w:rsidRPr="002E4D67" w14:paraId="619486C3" w14:textId="77777777" w:rsidTr="00D64090">
        <w:tc>
          <w:tcPr>
            <w:tcW w:w="1985" w:type="dxa"/>
          </w:tcPr>
          <w:p w14:paraId="26C8F176" w14:textId="38521FEE" w:rsidR="00E03612" w:rsidRPr="002E4D67" w:rsidRDefault="00E03612" w:rsidP="00E03612">
            <w:pPr>
              <w:pStyle w:val="berschrift1"/>
              <w:keepNext w:val="0"/>
              <w:keepLines w:val="0"/>
              <w:rPr>
                <w:lang w:val="en-US"/>
              </w:rPr>
            </w:pPr>
            <w:bookmarkStart w:id="190" w:name="_Toc212017885"/>
            <w:bookmarkStart w:id="191" w:name="_Toc213164168"/>
            <w:bookmarkStart w:id="192" w:name="_Toc213179151"/>
            <w:r w:rsidRPr="002E4D67">
              <w:rPr>
                <w:lang w:val="en-US"/>
              </w:rPr>
              <w:t>E.8 Issue price</w:t>
            </w:r>
            <w:bookmarkEnd w:id="190"/>
            <w:bookmarkEnd w:id="191"/>
            <w:bookmarkEnd w:id="192"/>
          </w:p>
        </w:tc>
        <w:tc>
          <w:tcPr>
            <w:tcW w:w="6371" w:type="dxa"/>
          </w:tcPr>
          <w:p w14:paraId="76273EDD" w14:textId="77777777" w:rsidR="00E03612" w:rsidRPr="002E4D67" w:rsidRDefault="00E03612" w:rsidP="00E03612">
            <w:pPr>
              <w:pStyle w:val="Textkrper"/>
              <w:rPr>
                <w:rFonts w:cstheme="minorHAnsi"/>
                <w:lang w:val="en-US"/>
              </w:rPr>
            </w:pPr>
            <w:r w:rsidRPr="002E4D67">
              <w:rPr>
                <w:rFonts w:cstheme="minorHAnsi"/>
                <w:lang w:val="en-US"/>
              </w:rPr>
              <w:t xml:space="preserve">The </w:t>
            </w:r>
            <w:bookmarkStart w:id="193" w:name="_cp_change_498"/>
            <w:r w:rsidRPr="002E4D67">
              <w:rPr>
                <w:rFonts w:cstheme="minorHAnsi"/>
                <w:lang w:val="en-US"/>
              </w:rPr>
              <w:t>$</w:t>
            </w:r>
            <w:bookmarkEnd w:id="193"/>
            <w:r w:rsidRPr="002E4D67">
              <w:rPr>
                <w:rFonts w:cstheme="minorHAnsi"/>
                <w:lang w:val="en-US"/>
              </w:rPr>
              <w:t xml:space="preserve">WYND Utility </w:t>
            </w:r>
            <w:bookmarkStart w:id="194" w:name="_cp_change_499"/>
            <w:r w:rsidRPr="002E4D67">
              <w:rPr>
                <w:rFonts w:cstheme="minorHAnsi"/>
                <w:lang w:val="en-US"/>
              </w:rPr>
              <w:t>token</w:t>
            </w:r>
            <w:bookmarkStart w:id="195" w:name="_cp_change_500"/>
            <w:bookmarkEnd w:id="194"/>
            <w:r w:rsidRPr="002E4D67">
              <w:rPr>
                <w:rFonts w:cstheme="minorHAnsi"/>
                <w:color w:val="0000FF"/>
                <w:u w:val="double" w:color="0000FF"/>
                <w:lang w:val="en-US"/>
              </w:rPr>
              <w:t xml:space="preserve"> </w:t>
            </w:r>
            <w:r w:rsidRPr="002E4D67">
              <w:rPr>
                <w:rFonts w:cstheme="minorHAnsi"/>
                <w:lang w:val="en-US"/>
              </w:rPr>
              <w:t xml:space="preserve">will be issued in several funding rounds with predefined prices. The final public issue price is </w:t>
            </w:r>
            <w:r w:rsidRPr="002E4D67">
              <w:rPr>
                <w:rFonts w:cstheme="minorHAnsi"/>
                <w:b/>
                <w:bCs/>
                <w:lang w:val="en-US"/>
              </w:rPr>
              <w:t>USD 1.00</w:t>
            </w:r>
            <w:bookmarkEnd w:id="195"/>
            <w:r w:rsidRPr="002E4D67">
              <w:rPr>
                <w:rFonts w:cstheme="minorHAnsi"/>
                <w:b/>
                <w:bCs/>
                <w:lang w:val="en-US"/>
              </w:rPr>
              <w:t xml:space="preserve"> per token</w:t>
            </w:r>
            <w:r w:rsidRPr="002E4D67">
              <w:rPr>
                <w:rFonts w:cstheme="minorHAnsi"/>
                <w:lang w:val="en-US"/>
              </w:rPr>
              <w:t>.</w:t>
            </w:r>
          </w:p>
          <w:p w14:paraId="501E6149" w14:textId="77777777" w:rsidR="00E03612" w:rsidRPr="002E4D67" w:rsidRDefault="00E03612" w:rsidP="00E03612">
            <w:pPr>
              <w:pStyle w:val="Textkrper"/>
              <w:rPr>
                <w:rFonts w:cstheme="minorHAnsi"/>
                <w:bCs/>
                <w:lang w:val="en-US"/>
              </w:rPr>
            </w:pPr>
            <w:r w:rsidRPr="002E4D67">
              <w:rPr>
                <w:rStyle w:val="Fett"/>
                <w:rFonts w:cstheme="minorHAnsi"/>
                <w:lang w:val="en-US"/>
              </w:rPr>
              <w:t>Funding Rounds</w:t>
            </w:r>
          </w:p>
          <w:p w14:paraId="3886FD3E" w14:textId="77777777" w:rsidR="00E03612" w:rsidRPr="002E4D67" w:rsidRDefault="00E03612" w:rsidP="00E03612">
            <w:pPr>
              <w:pStyle w:val="Textkrper"/>
              <w:rPr>
                <w:rFonts w:cstheme="minorHAnsi"/>
                <w:lang w:val="en-US"/>
              </w:rPr>
            </w:pPr>
            <w:r w:rsidRPr="002E4D67">
              <w:rPr>
                <w:rFonts w:cstheme="minorHAnsi"/>
                <w:lang w:val="en-US"/>
              </w:rPr>
              <w:t>The public offering of the $WYND token takes place in five defined funding rounds.</w:t>
            </w:r>
          </w:p>
          <w:p w14:paraId="2DAE178E" w14:textId="77777777" w:rsidR="00E03612" w:rsidRPr="002E4D67" w:rsidRDefault="00E03612" w:rsidP="00E03612">
            <w:pPr>
              <w:pStyle w:val="Textkrper"/>
              <w:rPr>
                <w:rFonts w:cstheme="minorHAnsi"/>
                <w:lang w:val="en-US"/>
              </w:rPr>
            </w:pPr>
            <w:r w:rsidRPr="002E4D67">
              <w:rPr>
                <w:rFonts w:cstheme="minorHAnsi"/>
                <w:lang w:val="en-US"/>
              </w:rPr>
              <w:t>Each round has a fixed token price, cliff, vesting schedule, and allocation cap.</w:t>
            </w:r>
          </w:p>
          <w:tbl>
            <w:tblPr>
              <w:tblW w:w="6081"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877"/>
              <w:gridCol w:w="709"/>
              <w:gridCol w:w="709"/>
              <w:gridCol w:w="1020"/>
              <w:gridCol w:w="800"/>
              <w:gridCol w:w="826"/>
              <w:gridCol w:w="1140"/>
            </w:tblGrid>
            <w:tr w:rsidR="00F074A1" w:rsidRPr="002E4D67" w14:paraId="5D76B86A" w14:textId="77777777" w:rsidTr="00CA2AB0">
              <w:trPr>
                <w:tblHeader/>
                <w:tblCellSpacing w:w="15" w:type="dxa"/>
              </w:trPr>
              <w:tc>
                <w:tcPr>
                  <w:tcW w:w="832" w:type="dxa"/>
                  <w:hideMark/>
                </w:tcPr>
                <w:p w14:paraId="0ACA68DF" w14:textId="77777777" w:rsidR="00E03612" w:rsidRPr="002E4D67" w:rsidRDefault="00E03612" w:rsidP="00F074A1">
                  <w:pPr>
                    <w:pStyle w:val="Textkrper"/>
                    <w:jc w:val="left"/>
                    <w:rPr>
                      <w:rFonts w:cstheme="minorHAnsi"/>
                      <w:lang w:val="en-US"/>
                    </w:rPr>
                  </w:pPr>
                  <w:r w:rsidRPr="002E4D67">
                    <w:rPr>
                      <w:rStyle w:val="Fett"/>
                      <w:rFonts w:cstheme="minorHAnsi"/>
                      <w:lang w:val="en-US"/>
                    </w:rPr>
                    <w:t>Round / Investor Group</w:t>
                  </w:r>
                </w:p>
              </w:tc>
              <w:tc>
                <w:tcPr>
                  <w:tcW w:w="679" w:type="dxa"/>
                  <w:hideMark/>
                </w:tcPr>
                <w:p w14:paraId="1225F507" w14:textId="77777777" w:rsidR="00E03612" w:rsidRPr="002E4D67" w:rsidRDefault="00E03612" w:rsidP="00F074A1">
                  <w:pPr>
                    <w:pStyle w:val="Textkrper"/>
                    <w:jc w:val="left"/>
                    <w:rPr>
                      <w:rFonts w:cstheme="minorHAnsi"/>
                      <w:lang w:val="en-US"/>
                    </w:rPr>
                  </w:pPr>
                  <w:r w:rsidRPr="002E4D67">
                    <w:rPr>
                      <w:rStyle w:val="Fett"/>
                      <w:rFonts w:cstheme="minorHAnsi"/>
                      <w:lang w:val="en-US"/>
                    </w:rPr>
                    <w:t>Cliff (months)</w:t>
                  </w:r>
                </w:p>
              </w:tc>
              <w:tc>
                <w:tcPr>
                  <w:tcW w:w="679" w:type="dxa"/>
                  <w:hideMark/>
                </w:tcPr>
                <w:p w14:paraId="5535C1FE" w14:textId="77777777" w:rsidR="00E03612" w:rsidRPr="002E4D67" w:rsidRDefault="00E03612" w:rsidP="00F074A1">
                  <w:pPr>
                    <w:pStyle w:val="Textkrper"/>
                    <w:jc w:val="left"/>
                    <w:rPr>
                      <w:rFonts w:cstheme="minorHAnsi"/>
                      <w:lang w:val="en-US"/>
                    </w:rPr>
                  </w:pPr>
                  <w:r w:rsidRPr="002E4D67">
                    <w:rPr>
                      <w:rStyle w:val="Fett"/>
                      <w:rFonts w:cstheme="minorHAnsi"/>
                      <w:lang w:val="en-US"/>
                    </w:rPr>
                    <w:t>Vesting (months)</w:t>
                  </w:r>
                </w:p>
              </w:tc>
              <w:tc>
                <w:tcPr>
                  <w:tcW w:w="990" w:type="dxa"/>
                  <w:hideMark/>
                </w:tcPr>
                <w:p w14:paraId="0A600CD0" w14:textId="77777777" w:rsidR="00E03612" w:rsidRPr="002E4D67" w:rsidRDefault="00E03612" w:rsidP="00F074A1">
                  <w:pPr>
                    <w:pStyle w:val="Textkrper"/>
                    <w:jc w:val="left"/>
                    <w:rPr>
                      <w:rFonts w:cstheme="minorHAnsi"/>
                      <w:lang w:val="en-US"/>
                    </w:rPr>
                  </w:pPr>
                  <w:r w:rsidRPr="002E4D67">
                    <w:rPr>
                      <w:rStyle w:val="Fett"/>
                      <w:rFonts w:cstheme="minorHAnsi"/>
                      <w:lang w:val="en-US"/>
                    </w:rPr>
                    <w:t># Tokens</w:t>
                  </w:r>
                </w:p>
              </w:tc>
              <w:tc>
                <w:tcPr>
                  <w:tcW w:w="770" w:type="dxa"/>
                  <w:hideMark/>
                </w:tcPr>
                <w:p w14:paraId="21D82B61" w14:textId="77777777" w:rsidR="00E03612" w:rsidRPr="002E4D67" w:rsidRDefault="00E03612" w:rsidP="00F074A1">
                  <w:pPr>
                    <w:pStyle w:val="Textkrper"/>
                    <w:jc w:val="left"/>
                    <w:rPr>
                      <w:rFonts w:cstheme="minorHAnsi"/>
                      <w:lang w:val="en-US"/>
                    </w:rPr>
                  </w:pPr>
                  <w:r w:rsidRPr="002E4D67">
                    <w:rPr>
                      <w:rStyle w:val="Fett"/>
                      <w:rFonts w:cstheme="minorHAnsi"/>
                      <w:lang w:val="en-US"/>
                    </w:rPr>
                    <w:t>% of Total Supply</w:t>
                  </w:r>
                </w:p>
              </w:tc>
              <w:tc>
                <w:tcPr>
                  <w:tcW w:w="796" w:type="dxa"/>
                  <w:hideMark/>
                </w:tcPr>
                <w:p w14:paraId="7D04FB55" w14:textId="77777777" w:rsidR="00E03612" w:rsidRPr="002E4D67" w:rsidRDefault="00E03612" w:rsidP="00F074A1">
                  <w:pPr>
                    <w:pStyle w:val="Textkrper"/>
                    <w:jc w:val="left"/>
                    <w:rPr>
                      <w:rFonts w:cstheme="minorHAnsi"/>
                      <w:lang w:val="en-US"/>
                    </w:rPr>
                  </w:pPr>
                  <w:r w:rsidRPr="002E4D67">
                    <w:rPr>
                      <w:rStyle w:val="Fett"/>
                      <w:rFonts w:cstheme="minorHAnsi"/>
                      <w:lang w:val="en-US"/>
                    </w:rPr>
                    <w:t>Price (USD)</w:t>
                  </w:r>
                </w:p>
              </w:tc>
              <w:tc>
                <w:tcPr>
                  <w:tcW w:w="1095" w:type="dxa"/>
                  <w:tcBorders>
                    <w:right w:val="double" w:sz="4" w:space="0" w:color="auto"/>
                  </w:tcBorders>
                  <w:hideMark/>
                </w:tcPr>
                <w:p w14:paraId="432AD694" w14:textId="77777777" w:rsidR="00E03612" w:rsidRPr="002E4D67" w:rsidRDefault="00E03612" w:rsidP="00F074A1">
                  <w:pPr>
                    <w:pStyle w:val="Textkrper"/>
                    <w:jc w:val="left"/>
                    <w:rPr>
                      <w:rFonts w:cstheme="minorHAnsi"/>
                      <w:lang w:val="en-US"/>
                    </w:rPr>
                  </w:pPr>
                  <w:r w:rsidRPr="002E4D67">
                    <w:rPr>
                      <w:rStyle w:val="Fett"/>
                      <w:rFonts w:cstheme="minorHAnsi"/>
                      <w:lang w:val="en-US"/>
                    </w:rPr>
                    <w:t>Description</w:t>
                  </w:r>
                </w:p>
              </w:tc>
            </w:tr>
            <w:tr w:rsidR="00F074A1" w:rsidRPr="002E4D67" w14:paraId="247CE1F4" w14:textId="77777777" w:rsidTr="00CA2AB0">
              <w:trPr>
                <w:tblCellSpacing w:w="15" w:type="dxa"/>
              </w:trPr>
              <w:tc>
                <w:tcPr>
                  <w:tcW w:w="832" w:type="dxa"/>
                  <w:hideMark/>
                </w:tcPr>
                <w:p w14:paraId="2E8DB3BE" w14:textId="77777777" w:rsidR="00E03612" w:rsidRPr="002E4D67" w:rsidRDefault="00E03612" w:rsidP="00F074A1">
                  <w:pPr>
                    <w:pStyle w:val="Textkrper"/>
                    <w:jc w:val="left"/>
                    <w:rPr>
                      <w:rFonts w:cstheme="minorHAnsi"/>
                      <w:lang w:val="en-US"/>
                    </w:rPr>
                  </w:pPr>
                  <w:r w:rsidRPr="002E4D67">
                    <w:rPr>
                      <w:rFonts w:cstheme="minorHAnsi"/>
                      <w:lang w:val="en-US"/>
                    </w:rPr>
                    <w:t>Pre-Seed</w:t>
                  </w:r>
                </w:p>
              </w:tc>
              <w:tc>
                <w:tcPr>
                  <w:tcW w:w="679" w:type="dxa"/>
                  <w:hideMark/>
                </w:tcPr>
                <w:p w14:paraId="0D3555D2" w14:textId="77777777" w:rsidR="00E03612" w:rsidRPr="002E4D67" w:rsidRDefault="00E03612" w:rsidP="00F074A1">
                  <w:pPr>
                    <w:pStyle w:val="Textkrper"/>
                    <w:jc w:val="left"/>
                    <w:rPr>
                      <w:rFonts w:cstheme="minorHAnsi"/>
                      <w:lang w:val="en-US"/>
                    </w:rPr>
                  </w:pPr>
                  <w:r w:rsidRPr="002E4D67">
                    <w:rPr>
                      <w:rFonts w:cstheme="minorHAnsi"/>
                      <w:lang w:val="en-US"/>
                    </w:rPr>
                    <w:t>12</w:t>
                  </w:r>
                </w:p>
              </w:tc>
              <w:tc>
                <w:tcPr>
                  <w:tcW w:w="679" w:type="dxa"/>
                  <w:hideMark/>
                </w:tcPr>
                <w:p w14:paraId="522A0BF1" w14:textId="77777777" w:rsidR="00E03612" w:rsidRPr="002E4D67" w:rsidRDefault="00E03612" w:rsidP="00F074A1">
                  <w:pPr>
                    <w:pStyle w:val="Textkrper"/>
                    <w:jc w:val="left"/>
                    <w:rPr>
                      <w:rFonts w:cstheme="minorHAnsi"/>
                      <w:lang w:val="en-US"/>
                    </w:rPr>
                  </w:pPr>
                  <w:r w:rsidRPr="002E4D67">
                    <w:rPr>
                      <w:rFonts w:cstheme="minorHAnsi"/>
                      <w:lang w:val="en-US"/>
                    </w:rPr>
                    <w:t>18</w:t>
                  </w:r>
                </w:p>
              </w:tc>
              <w:tc>
                <w:tcPr>
                  <w:tcW w:w="990" w:type="dxa"/>
                  <w:hideMark/>
                </w:tcPr>
                <w:p w14:paraId="3218EE4C" w14:textId="77777777" w:rsidR="00E03612" w:rsidRPr="002E4D67" w:rsidRDefault="00E03612" w:rsidP="00F074A1">
                  <w:pPr>
                    <w:pStyle w:val="Textkrper"/>
                    <w:jc w:val="left"/>
                    <w:rPr>
                      <w:rFonts w:cstheme="minorHAnsi"/>
                      <w:lang w:val="en-US"/>
                    </w:rPr>
                  </w:pPr>
                  <w:r w:rsidRPr="002E4D67">
                    <w:rPr>
                      <w:rFonts w:cstheme="minorHAnsi"/>
                      <w:lang w:val="en-US"/>
                    </w:rPr>
                    <w:t>1,500,000</w:t>
                  </w:r>
                </w:p>
              </w:tc>
              <w:tc>
                <w:tcPr>
                  <w:tcW w:w="770" w:type="dxa"/>
                  <w:hideMark/>
                </w:tcPr>
                <w:p w14:paraId="017AB9F9" w14:textId="77777777" w:rsidR="00E03612" w:rsidRPr="002E4D67" w:rsidRDefault="00E03612" w:rsidP="00F074A1">
                  <w:pPr>
                    <w:pStyle w:val="Textkrper"/>
                    <w:jc w:val="left"/>
                    <w:rPr>
                      <w:rFonts w:cstheme="minorHAnsi"/>
                      <w:lang w:val="en-US"/>
                    </w:rPr>
                  </w:pPr>
                  <w:r w:rsidRPr="002E4D67">
                    <w:rPr>
                      <w:rFonts w:cstheme="minorHAnsi"/>
                      <w:lang w:val="en-US"/>
                    </w:rPr>
                    <w:t>1.5 %</w:t>
                  </w:r>
                </w:p>
              </w:tc>
              <w:tc>
                <w:tcPr>
                  <w:tcW w:w="796" w:type="dxa"/>
                  <w:hideMark/>
                </w:tcPr>
                <w:p w14:paraId="5C3D2932" w14:textId="14985335" w:rsidR="00E03612" w:rsidRPr="002E4D67" w:rsidRDefault="00F074A1" w:rsidP="00F074A1">
                  <w:pPr>
                    <w:pStyle w:val="Textkrper"/>
                    <w:jc w:val="left"/>
                    <w:rPr>
                      <w:rFonts w:cstheme="minorHAnsi"/>
                      <w:lang w:val="en-US"/>
                    </w:rPr>
                  </w:pPr>
                  <w:r>
                    <w:rPr>
                      <w:rFonts w:cstheme="minorHAnsi"/>
                      <w:lang w:val="en-US"/>
                    </w:rPr>
                    <w:t>$</w:t>
                  </w:r>
                  <w:r w:rsidR="00CA2AB0">
                    <w:rPr>
                      <w:rFonts w:cstheme="minorHAnsi"/>
                      <w:lang w:val="en-US"/>
                    </w:rPr>
                    <w:t xml:space="preserve"> </w:t>
                  </w:r>
                  <w:r w:rsidR="00E03612" w:rsidRPr="002E4D67">
                    <w:rPr>
                      <w:rFonts w:cstheme="minorHAnsi"/>
                      <w:lang w:val="en-US"/>
                    </w:rPr>
                    <w:t>0.35</w:t>
                  </w:r>
                </w:p>
              </w:tc>
              <w:tc>
                <w:tcPr>
                  <w:tcW w:w="1095" w:type="dxa"/>
                  <w:tcBorders>
                    <w:right w:val="double" w:sz="4" w:space="0" w:color="auto"/>
                  </w:tcBorders>
                  <w:hideMark/>
                </w:tcPr>
                <w:p w14:paraId="316255A8" w14:textId="77777777" w:rsidR="00E03612" w:rsidRPr="002E4D67" w:rsidRDefault="00E03612" w:rsidP="00F074A1">
                  <w:pPr>
                    <w:pStyle w:val="Textkrper"/>
                    <w:jc w:val="left"/>
                    <w:rPr>
                      <w:rFonts w:cstheme="minorHAnsi"/>
                      <w:lang w:val="en-US"/>
                    </w:rPr>
                  </w:pPr>
                  <w:r w:rsidRPr="002E4D67">
                    <w:rPr>
                      <w:rFonts w:cstheme="minorHAnsi"/>
                      <w:lang w:val="en-US"/>
                    </w:rPr>
                    <w:t>Early strategic contributors and technical supporters</w:t>
                  </w:r>
                </w:p>
              </w:tc>
            </w:tr>
            <w:tr w:rsidR="00F074A1" w:rsidRPr="002E4D67" w14:paraId="4B5F3F88" w14:textId="77777777" w:rsidTr="00CA2AB0">
              <w:trPr>
                <w:tblCellSpacing w:w="15" w:type="dxa"/>
              </w:trPr>
              <w:tc>
                <w:tcPr>
                  <w:tcW w:w="832" w:type="dxa"/>
                  <w:hideMark/>
                </w:tcPr>
                <w:p w14:paraId="65F511E6" w14:textId="77777777" w:rsidR="00E03612" w:rsidRPr="002E4D67" w:rsidRDefault="00E03612" w:rsidP="00F074A1">
                  <w:pPr>
                    <w:pStyle w:val="Textkrper"/>
                    <w:jc w:val="left"/>
                    <w:rPr>
                      <w:rFonts w:cstheme="minorHAnsi"/>
                      <w:lang w:val="en-US"/>
                    </w:rPr>
                  </w:pPr>
                  <w:r w:rsidRPr="002E4D67">
                    <w:rPr>
                      <w:rFonts w:cstheme="minorHAnsi"/>
                      <w:lang w:val="en-US"/>
                    </w:rPr>
                    <w:t>Seed</w:t>
                  </w:r>
                </w:p>
              </w:tc>
              <w:tc>
                <w:tcPr>
                  <w:tcW w:w="679" w:type="dxa"/>
                  <w:hideMark/>
                </w:tcPr>
                <w:p w14:paraId="05BC909B" w14:textId="77777777" w:rsidR="00E03612" w:rsidRPr="002E4D67" w:rsidRDefault="00E03612" w:rsidP="00F074A1">
                  <w:pPr>
                    <w:pStyle w:val="Textkrper"/>
                    <w:jc w:val="left"/>
                    <w:rPr>
                      <w:rFonts w:cstheme="minorHAnsi"/>
                      <w:lang w:val="en-US"/>
                    </w:rPr>
                  </w:pPr>
                  <w:r w:rsidRPr="002E4D67">
                    <w:rPr>
                      <w:rFonts w:cstheme="minorHAnsi"/>
                      <w:lang w:val="en-US"/>
                    </w:rPr>
                    <w:t>12</w:t>
                  </w:r>
                </w:p>
              </w:tc>
              <w:tc>
                <w:tcPr>
                  <w:tcW w:w="679" w:type="dxa"/>
                  <w:hideMark/>
                </w:tcPr>
                <w:p w14:paraId="2E043AF0" w14:textId="77777777" w:rsidR="00E03612" w:rsidRPr="002E4D67" w:rsidRDefault="00E03612" w:rsidP="00F074A1">
                  <w:pPr>
                    <w:pStyle w:val="Textkrper"/>
                    <w:jc w:val="left"/>
                    <w:rPr>
                      <w:rFonts w:cstheme="minorHAnsi"/>
                      <w:lang w:val="en-US"/>
                    </w:rPr>
                  </w:pPr>
                  <w:r w:rsidRPr="002E4D67">
                    <w:rPr>
                      <w:rFonts w:cstheme="minorHAnsi"/>
                      <w:lang w:val="en-US"/>
                    </w:rPr>
                    <w:t>18</w:t>
                  </w:r>
                </w:p>
              </w:tc>
              <w:tc>
                <w:tcPr>
                  <w:tcW w:w="990" w:type="dxa"/>
                  <w:hideMark/>
                </w:tcPr>
                <w:p w14:paraId="7355DE9A" w14:textId="77777777" w:rsidR="00E03612" w:rsidRPr="002E4D67" w:rsidRDefault="00E03612" w:rsidP="00F074A1">
                  <w:pPr>
                    <w:pStyle w:val="Textkrper"/>
                    <w:jc w:val="left"/>
                    <w:rPr>
                      <w:rFonts w:cstheme="minorHAnsi"/>
                      <w:lang w:val="en-US"/>
                    </w:rPr>
                  </w:pPr>
                  <w:r w:rsidRPr="002E4D67">
                    <w:rPr>
                      <w:rFonts w:cstheme="minorHAnsi"/>
                      <w:lang w:val="en-US"/>
                    </w:rPr>
                    <w:t>3,000,000</w:t>
                  </w:r>
                </w:p>
              </w:tc>
              <w:tc>
                <w:tcPr>
                  <w:tcW w:w="770" w:type="dxa"/>
                  <w:hideMark/>
                </w:tcPr>
                <w:p w14:paraId="4049BCD8" w14:textId="77777777" w:rsidR="00E03612" w:rsidRPr="002E4D67" w:rsidRDefault="00E03612" w:rsidP="00F074A1">
                  <w:pPr>
                    <w:pStyle w:val="Textkrper"/>
                    <w:jc w:val="left"/>
                    <w:rPr>
                      <w:rFonts w:cstheme="minorHAnsi"/>
                      <w:lang w:val="en-US"/>
                    </w:rPr>
                  </w:pPr>
                  <w:r w:rsidRPr="002E4D67">
                    <w:rPr>
                      <w:rFonts w:cstheme="minorHAnsi"/>
                      <w:lang w:val="en-US"/>
                    </w:rPr>
                    <w:t>3.0 %</w:t>
                  </w:r>
                </w:p>
              </w:tc>
              <w:tc>
                <w:tcPr>
                  <w:tcW w:w="796" w:type="dxa"/>
                  <w:hideMark/>
                </w:tcPr>
                <w:p w14:paraId="67DE90E5" w14:textId="64D46CC3" w:rsidR="00E03612" w:rsidRPr="002E4D67" w:rsidRDefault="00F074A1" w:rsidP="00F074A1">
                  <w:pPr>
                    <w:pStyle w:val="Textkrper"/>
                    <w:jc w:val="left"/>
                    <w:rPr>
                      <w:rFonts w:cstheme="minorHAnsi"/>
                      <w:lang w:val="en-US"/>
                    </w:rPr>
                  </w:pPr>
                  <w:r>
                    <w:rPr>
                      <w:rFonts w:cstheme="minorHAnsi"/>
                      <w:lang w:val="en-US"/>
                    </w:rPr>
                    <w:t xml:space="preserve">$ </w:t>
                  </w:r>
                  <w:r w:rsidR="00E03612" w:rsidRPr="002E4D67">
                    <w:rPr>
                      <w:rFonts w:cstheme="minorHAnsi"/>
                      <w:lang w:val="en-US"/>
                    </w:rPr>
                    <w:t>0.455</w:t>
                  </w:r>
                </w:p>
              </w:tc>
              <w:tc>
                <w:tcPr>
                  <w:tcW w:w="1095" w:type="dxa"/>
                  <w:tcBorders>
                    <w:right w:val="double" w:sz="4" w:space="0" w:color="auto"/>
                  </w:tcBorders>
                  <w:hideMark/>
                </w:tcPr>
                <w:p w14:paraId="606986A5" w14:textId="77777777" w:rsidR="00E03612" w:rsidRPr="002E4D67" w:rsidRDefault="00E03612" w:rsidP="00F074A1">
                  <w:pPr>
                    <w:pStyle w:val="Textkrper"/>
                    <w:jc w:val="left"/>
                    <w:rPr>
                      <w:rFonts w:cstheme="minorHAnsi"/>
                      <w:lang w:val="en-US"/>
                    </w:rPr>
                  </w:pPr>
                  <w:r w:rsidRPr="002E4D67">
                    <w:rPr>
                      <w:rFonts w:cstheme="minorHAnsi"/>
                      <w:lang w:val="en-US"/>
                    </w:rPr>
                    <w:t>Early investors and key partners</w:t>
                  </w:r>
                </w:p>
              </w:tc>
            </w:tr>
            <w:tr w:rsidR="00F074A1" w:rsidRPr="002E4D67" w14:paraId="73654578" w14:textId="77777777" w:rsidTr="00CA2AB0">
              <w:trPr>
                <w:tblCellSpacing w:w="15" w:type="dxa"/>
              </w:trPr>
              <w:tc>
                <w:tcPr>
                  <w:tcW w:w="832" w:type="dxa"/>
                  <w:hideMark/>
                </w:tcPr>
                <w:p w14:paraId="20152B36" w14:textId="77777777" w:rsidR="00E03612" w:rsidRPr="002E4D67" w:rsidRDefault="00E03612" w:rsidP="00F074A1">
                  <w:pPr>
                    <w:pStyle w:val="Textkrper"/>
                    <w:jc w:val="left"/>
                    <w:rPr>
                      <w:rFonts w:cstheme="minorHAnsi"/>
                      <w:lang w:val="en-US"/>
                    </w:rPr>
                  </w:pPr>
                  <w:r w:rsidRPr="002E4D67">
                    <w:rPr>
                      <w:rFonts w:cstheme="minorHAnsi"/>
                      <w:lang w:val="en-US"/>
                    </w:rPr>
                    <w:t>Strategic</w:t>
                  </w:r>
                </w:p>
              </w:tc>
              <w:tc>
                <w:tcPr>
                  <w:tcW w:w="679" w:type="dxa"/>
                  <w:hideMark/>
                </w:tcPr>
                <w:p w14:paraId="6727722F" w14:textId="77777777" w:rsidR="00E03612" w:rsidRPr="002E4D67" w:rsidRDefault="00E03612" w:rsidP="00F074A1">
                  <w:pPr>
                    <w:pStyle w:val="Textkrper"/>
                    <w:jc w:val="left"/>
                    <w:rPr>
                      <w:rFonts w:cstheme="minorHAnsi"/>
                      <w:lang w:val="en-US"/>
                    </w:rPr>
                  </w:pPr>
                  <w:r w:rsidRPr="002E4D67">
                    <w:rPr>
                      <w:rFonts w:cstheme="minorHAnsi"/>
                      <w:lang w:val="en-US"/>
                    </w:rPr>
                    <w:t>9</w:t>
                  </w:r>
                </w:p>
              </w:tc>
              <w:tc>
                <w:tcPr>
                  <w:tcW w:w="679" w:type="dxa"/>
                  <w:hideMark/>
                </w:tcPr>
                <w:p w14:paraId="6F545E6C" w14:textId="77777777" w:rsidR="00E03612" w:rsidRPr="002E4D67" w:rsidRDefault="00E03612" w:rsidP="00F074A1">
                  <w:pPr>
                    <w:pStyle w:val="Textkrper"/>
                    <w:jc w:val="left"/>
                    <w:rPr>
                      <w:rFonts w:cstheme="minorHAnsi"/>
                      <w:lang w:val="en-US"/>
                    </w:rPr>
                  </w:pPr>
                  <w:r w:rsidRPr="002E4D67">
                    <w:rPr>
                      <w:rFonts w:cstheme="minorHAnsi"/>
                      <w:lang w:val="en-US"/>
                    </w:rPr>
                    <w:t>12</w:t>
                  </w:r>
                </w:p>
              </w:tc>
              <w:tc>
                <w:tcPr>
                  <w:tcW w:w="990" w:type="dxa"/>
                  <w:hideMark/>
                </w:tcPr>
                <w:p w14:paraId="12B73DEA" w14:textId="77777777" w:rsidR="00E03612" w:rsidRPr="002E4D67" w:rsidRDefault="00E03612" w:rsidP="00F074A1">
                  <w:pPr>
                    <w:pStyle w:val="Textkrper"/>
                    <w:jc w:val="left"/>
                    <w:rPr>
                      <w:rFonts w:cstheme="minorHAnsi"/>
                      <w:lang w:val="en-US"/>
                    </w:rPr>
                  </w:pPr>
                  <w:r w:rsidRPr="002E4D67">
                    <w:rPr>
                      <w:rFonts w:cstheme="minorHAnsi"/>
                      <w:lang w:val="en-US"/>
                    </w:rPr>
                    <w:t>4,000,000</w:t>
                  </w:r>
                </w:p>
              </w:tc>
              <w:tc>
                <w:tcPr>
                  <w:tcW w:w="770" w:type="dxa"/>
                  <w:hideMark/>
                </w:tcPr>
                <w:p w14:paraId="1ACEE40C" w14:textId="77777777" w:rsidR="00E03612" w:rsidRPr="002E4D67" w:rsidRDefault="00E03612" w:rsidP="00F074A1">
                  <w:pPr>
                    <w:pStyle w:val="Textkrper"/>
                    <w:jc w:val="left"/>
                    <w:rPr>
                      <w:rFonts w:cstheme="minorHAnsi"/>
                      <w:lang w:val="en-US"/>
                    </w:rPr>
                  </w:pPr>
                  <w:r w:rsidRPr="002E4D67">
                    <w:rPr>
                      <w:rFonts w:cstheme="minorHAnsi"/>
                      <w:lang w:val="en-US"/>
                    </w:rPr>
                    <w:t>4.0 %</w:t>
                  </w:r>
                </w:p>
              </w:tc>
              <w:tc>
                <w:tcPr>
                  <w:tcW w:w="796" w:type="dxa"/>
                  <w:hideMark/>
                </w:tcPr>
                <w:p w14:paraId="0E0F5004" w14:textId="23F0887D" w:rsidR="00E03612" w:rsidRPr="002E4D67" w:rsidRDefault="00F074A1" w:rsidP="00F074A1">
                  <w:pPr>
                    <w:pStyle w:val="Textkrper"/>
                    <w:jc w:val="left"/>
                    <w:rPr>
                      <w:rFonts w:cstheme="minorHAnsi"/>
                      <w:lang w:val="en-US"/>
                    </w:rPr>
                  </w:pPr>
                  <w:r>
                    <w:rPr>
                      <w:rFonts w:cstheme="minorHAnsi"/>
                      <w:lang w:val="en-US"/>
                    </w:rPr>
                    <w:t xml:space="preserve">$ </w:t>
                  </w:r>
                  <w:r w:rsidR="00E03612" w:rsidRPr="002E4D67">
                    <w:rPr>
                      <w:rFonts w:cstheme="minorHAnsi"/>
                      <w:lang w:val="en-US"/>
                    </w:rPr>
                    <w:t>0.592</w:t>
                  </w:r>
                </w:p>
              </w:tc>
              <w:tc>
                <w:tcPr>
                  <w:tcW w:w="1095" w:type="dxa"/>
                  <w:tcBorders>
                    <w:right w:val="double" w:sz="4" w:space="0" w:color="auto"/>
                  </w:tcBorders>
                  <w:hideMark/>
                </w:tcPr>
                <w:p w14:paraId="7C7D7102" w14:textId="77777777" w:rsidR="00E03612" w:rsidRPr="002E4D67" w:rsidRDefault="00E03612" w:rsidP="00F074A1">
                  <w:pPr>
                    <w:pStyle w:val="Textkrper"/>
                    <w:jc w:val="left"/>
                    <w:rPr>
                      <w:rFonts w:cstheme="minorHAnsi"/>
                      <w:lang w:val="en-US"/>
                    </w:rPr>
                  </w:pPr>
                  <w:r w:rsidRPr="002E4D67">
                    <w:rPr>
                      <w:rFonts w:cstheme="minorHAnsi"/>
                      <w:lang w:val="en-US"/>
                    </w:rPr>
                    <w:t>Institutional and network investors</w:t>
                  </w:r>
                </w:p>
              </w:tc>
            </w:tr>
            <w:tr w:rsidR="00F074A1" w:rsidRPr="002E4D67" w14:paraId="1A6DB466" w14:textId="77777777" w:rsidTr="00CA2AB0">
              <w:trPr>
                <w:tblCellSpacing w:w="15" w:type="dxa"/>
              </w:trPr>
              <w:tc>
                <w:tcPr>
                  <w:tcW w:w="832" w:type="dxa"/>
                  <w:hideMark/>
                </w:tcPr>
                <w:p w14:paraId="0F271471" w14:textId="77777777" w:rsidR="00E03612" w:rsidRPr="002E4D67" w:rsidRDefault="00E03612" w:rsidP="00F074A1">
                  <w:pPr>
                    <w:pStyle w:val="Textkrper"/>
                    <w:jc w:val="left"/>
                    <w:rPr>
                      <w:rFonts w:cstheme="minorHAnsi"/>
                      <w:lang w:val="en-US"/>
                    </w:rPr>
                  </w:pPr>
                  <w:r w:rsidRPr="002E4D67">
                    <w:rPr>
                      <w:rFonts w:cstheme="minorHAnsi"/>
                      <w:lang w:val="en-US"/>
                    </w:rPr>
                    <w:t>Pre-Public Sale</w:t>
                  </w:r>
                </w:p>
              </w:tc>
              <w:tc>
                <w:tcPr>
                  <w:tcW w:w="679" w:type="dxa"/>
                  <w:hideMark/>
                </w:tcPr>
                <w:p w14:paraId="6947F2AA" w14:textId="77777777" w:rsidR="00E03612" w:rsidRPr="002E4D67" w:rsidRDefault="00E03612" w:rsidP="00F074A1">
                  <w:pPr>
                    <w:pStyle w:val="Textkrper"/>
                    <w:jc w:val="left"/>
                    <w:rPr>
                      <w:rFonts w:cstheme="minorHAnsi"/>
                      <w:lang w:val="en-US"/>
                    </w:rPr>
                  </w:pPr>
                  <w:r w:rsidRPr="002E4D67">
                    <w:rPr>
                      <w:rFonts w:cstheme="minorHAnsi"/>
                      <w:lang w:val="en-US"/>
                    </w:rPr>
                    <w:t>9</w:t>
                  </w:r>
                </w:p>
              </w:tc>
              <w:tc>
                <w:tcPr>
                  <w:tcW w:w="679" w:type="dxa"/>
                  <w:hideMark/>
                </w:tcPr>
                <w:p w14:paraId="083545C5" w14:textId="77777777" w:rsidR="00E03612" w:rsidRPr="002E4D67" w:rsidRDefault="00E03612" w:rsidP="00F074A1">
                  <w:pPr>
                    <w:pStyle w:val="Textkrper"/>
                    <w:jc w:val="left"/>
                    <w:rPr>
                      <w:rFonts w:cstheme="minorHAnsi"/>
                      <w:lang w:val="en-US"/>
                    </w:rPr>
                  </w:pPr>
                  <w:r w:rsidRPr="002E4D67">
                    <w:rPr>
                      <w:rFonts w:cstheme="minorHAnsi"/>
                      <w:lang w:val="en-US"/>
                    </w:rPr>
                    <w:t>12</w:t>
                  </w:r>
                </w:p>
              </w:tc>
              <w:tc>
                <w:tcPr>
                  <w:tcW w:w="990" w:type="dxa"/>
                  <w:hideMark/>
                </w:tcPr>
                <w:p w14:paraId="7EC23A27" w14:textId="77777777" w:rsidR="00E03612" w:rsidRPr="002E4D67" w:rsidRDefault="00E03612" w:rsidP="00F074A1">
                  <w:pPr>
                    <w:pStyle w:val="Textkrper"/>
                    <w:jc w:val="left"/>
                    <w:rPr>
                      <w:rFonts w:cstheme="minorHAnsi"/>
                      <w:lang w:val="en-US"/>
                    </w:rPr>
                  </w:pPr>
                  <w:r w:rsidRPr="002E4D67">
                    <w:rPr>
                      <w:rFonts w:cstheme="minorHAnsi"/>
                      <w:lang w:val="en-US"/>
                    </w:rPr>
                    <w:t>4,000,000</w:t>
                  </w:r>
                </w:p>
              </w:tc>
              <w:tc>
                <w:tcPr>
                  <w:tcW w:w="770" w:type="dxa"/>
                  <w:hideMark/>
                </w:tcPr>
                <w:p w14:paraId="7C3DF515" w14:textId="77777777" w:rsidR="00E03612" w:rsidRPr="002E4D67" w:rsidRDefault="00E03612" w:rsidP="00F074A1">
                  <w:pPr>
                    <w:pStyle w:val="Textkrper"/>
                    <w:jc w:val="left"/>
                    <w:rPr>
                      <w:rFonts w:cstheme="minorHAnsi"/>
                      <w:lang w:val="en-US"/>
                    </w:rPr>
                  </w:pPr>
                  <w:r w:rsidRPr="002E4D67">
                    <w:rPr>
                      <w:rFonts w:cstheme="minorHAnsi"/>
                      <w:lang w:val="en-US"/>
                    </w:rPr>
                    <w:t>4.0 %</w:t>
                  </w:r>
                </w:p>
              </w:tc>
              <w:tc>
                <w:tcPr>
                  <w:tcW w:w="796" w:type="dxa"/>
                  <w:hideMark/>
                </w:tcPr>
                <w:p w14:paraId="6FF01DB0" w14:textId="3B76E2A6" w:rsidR="00E03612" w:rsidRPr="002E4D67" w:rsidRDefault="00F074A1" w:rsidP="00F074A1">
                  <w:pPr>
                    <w:pStyle w:val="Textkrper"/>
                    <w:jc w:val="left"/>
                    <w:rPr>
                      <w:rFonts w:cstheme="minorHAnsi"/>
                      <w:lang w:val="en-US"/>
                    </w:rPr>
                  </w:pPr>
                  <w:r>
                    <w:rPr>
                      <w:rFonts w:cstheme="minorHAnsi"/>
                      <w:lang w:val="en-US"/>
                    </w:rPr>
                    <w:t xml:space="preserve">$ </w:t>
                  </w:r>
                  <w:r w:rsidR="00E03612" w:rsidRPr="002E4D67">
                    <w:rPr>
                      <w:rFonts w:cstheme="minorHAnsi"/>
                      <w:lang w:val="en-US"/>
                    </w:rPr>
                    <w:t>0.769</w:t>
                  </w:r>
                </w:p>
              </w:tc>
              <w:tc>
                <w:tcPr>
                  <w:tcW w:w="1095" w:type="dxa"/>
                  <w:tcBorders>
                    <w:right w:val="double" w:sz="4" w:space="0" w:color="auto"/>
                  </w:tcBorders>
                  <w:hideMark/>
                </w:tcPr>
                <w:p w14:paraId="69AFDAE7" w14:textId="77777777" w:rsidR="00E03612" w:rsidRPr="002E4D67" w:rsidRDefault="00E03612" w:rsidP="00F074A1">
                  <w:pPr>
                    <w:pStyle w:val="Textkrper"/>
                    <w:jc w:val="left"/>
                    <w:rPr>
                      <w:rFonts w:cstheme="minorHAnsi"/>
                      <w:lang w:val="en-US"/>
                    </w:rPr>
                  </w:pPr>
                  <w:r w:rsidRPr="002E4D67">
                    <w:rPr>
                      <w:rFonts w:cstheme="minorHAnsi"/>
                      <w:lang w:val="en-US"/>
                    </w:rPr>
                    <w:t>Community and pre-</w:t>
                  </w:r>
                  <w:r w:rsidRPr="002E4D67">
                    <w:rPr>
                      <w:rFonts w:cstheme="minorHAnsi"/>
                      <w:lang w:val="en-US"/>
                    </w:rPr>
                    <w:lastRenderedPageBreak/>
                    <w:t>registered members</w:t>
                  </w:r>
                </w:p>
              </w:tc>
            </w:tr>
            <w:tr w:rsidR="00F074A1" w:rsidRPr="002E4D67" w14:paraId="629DF1B4" w14:textId="77777777" w:rsidTr="00CA2AB0">
              <w:trPr>
                <w:tblCellSpacing w:w="15" w:type="dxa"/>
              </w:trPr>
              <w:tc>
                <w:tcPr>
                  <w:tcW w:w="832" w:type="dxa"/>
                  <w:hideMark/>
                </w:tcPr>
                <w:p w14:paraId="7DAE76C8" w14:textId="77777777" w:rsidR="00E03612" w:rsidRPr="002E4D67" w:rsidRDefault="00E03612" w:rsidP="00F074A1">
                  <w:pPr>
                    <w:pStyle w:val="Textkrper"/>
                    <w:jc w:val="left"/>
                    <w:rPr>
                      <w:rFonts w:cstheme="minorHAnsi"/>
                      <w:lang w:val="en-US"/>
                    </w:rPr>
                  </w:pPr>
                  <w:r w:rsidRPr="002E4D67">
                    <w:rPr>
                      <w:rFonts w:cstheme="minorHAnsi"/>
                      <w:lang w:val="en-US"/>
                    </w:rPr>
                    <w:lastRenderedPageBreak/>
                    <w:t>Public Sale</w:t>
                  </w:r>
                </w:p>
              </w:tc>
              <w:tc>
                <w:tcPr>
                  <w:tcW w:w="679" w:type="dxa"/>
                  <w:hideMark/>
                </w:tcPr>
                <w:p w14:paraId="290FCCAC" w14:textId="77777777" w:rsidR="00E03612" w:rsidRPr="002E4D67" w:rsidRDefault="00E03612" w:rsidP="00F074A1">
                  <w:pPr>
                    <w:pStyle w:val="Textkrper"/>
                    <w:jc w:val="left"/>
                    <w:rPr>
                      <w:rFonts w:cstheme="minorHAnsi"/>
                      <w:lang w:val="en-US"/>
                    </w:rPr>
                  </w:pPr>
                  <w:r w:rsidRPr="002E4D67">
                    <w:rPr>
                      <w:rFonts w:cstheme="minorHAnsi"/>
                      <w:lang w:val="en-US"/>
                    </w:rPr>
                    <w:t>0</w:t>
                  </w:r>
                </w:p>
              </w:tc>
              <w:tc>
                <w:tcPr>
                  <w:tcW w:w="679" w:type="dxa"/>
                  <w:hideMark/>
                </w:tcPr>
                <w:p w14:paraId="5E2B9941" w14:textId="77777777" w:rsidR="00E03612" w:rsidRPr="002E4D67" w:rsidRDefault="00E03612" w:rsidP="00F074A1">
                  <w:pPr>
                    <w:pStyle w:val="Textkrper"/>
                    <w:jc w:val="left"/>
                    <w:rPr>
                      <w:rFonts w:cstheme="minorHAnsi"/>
                      <w:lang w:val="en-US"/>
                    </w:rPr>
                  </w:pPr>
                  <w:r w:rsidRPr="002E4D67">
                    <w:rPr>
                      <w:rFonts w:cstheme="minorHAnsi"/>
                      <w:lang w:val="en-US"/>
                    </w:rPr>
                    <w:t>4</w:t>
                  </w:r>
                </w:p>
              </w:tc>
              <w:tc>
                <w:tcPr>
                  <w:tcW w:w="990" w:type="dxa"/>
                  <w:hideMark/>
                </w:tcPr>
                <w:p w14:paraId="49A34A59" w14:textId="77777777" w:rsidR="00E03612" w:rsidRPr="002E4D67" w:rsidRDefault="00E03612" w:rsidP="00F074A1">
                  <w:pPr>
                    <w:pStyle w:val="Textkrper"/>
                    <w:jc w:val="left"/>
                    <w:rPr>
                      <w:rFonts w:cstheme="minorHAnsi"/>
                      <w:lang w:val="en-US"/>
                    </w:rPr>
                  </w:pPr>
                  <w:r w:rsidRPr="002E4D67">
                    <w:rPr>
                      <w:rFonts w:cstheme="minorHAnsi"/>
                      <w:lang w:val="en-US"/>
                    </w:rPr>
                    <w:t>3,500,000</w:t>
                  </w:r>
                </w:p>
              </w:tc>
              <w:tc>
                <w:tcPr>
                  <w:tcW w:w="770" w:type="dxa"/>
                  <w:hideMark/>
                </w:tcPr>
                <w:p w14:paraId="18681C37" w14:textId="77777777" w:rsidR="00E03612" w:rsidRPr="002E4D67" w:rsidRDefault="00E03612" w:rsidP="00F074A1">
                  <w:pPr>
                    <w:pStyle w:val="Textkrper"/>
                    <w:jc w:val="left"/>
                    <w:rPr>
                      <w:rFonts w:cstheme="minorHAnsi"/>
                      <w:lang w:val="en-US"/>
                    </w:rPr>
                  </w:pPr>
                  <w:r w:rsidRPr="002E4D67">
                    <w:rPr>
                      <w:rFonts w:cstheme="minorHAnsi"/>
                      <w:lang w:val="en-US"/>
                    </w:rPr>
                    <w:t>3.5 %</w:t>
                  </w:r>
                </w:p>
              </w:tc>
              <w:tc>
                <w:tcPr>
                  <w:tcW w:w="796" w:type="dxa"/>
                  <w:hideMark/>
                </w:tcPr>
                <w:p w14:paraId="6D0F2253" w14:textId="5A02707C" w:rsidR="00E03612" w:rsidRPr="002E4D67" w:rsidRDefault="00F074A1" w:rsidP="00F074A1">
                  <w:pPr>
                    <w:pStyle w:val="Textkrper"/>
                    <w:jc w:val="left"/>
                    <w:rPr>
                      <w:rFonts w:cstheme="minorHAnsi"/>
                      <w:lang w:val="en-US"/>
                    </w:rPr>
                  </w:pPr>
                  <w:r>
                    <w:rPr>
                      <w:rFonts w:cstheme="minorHAnsi"/>
                      <w:lang w:val="en-US"/>
                    </w:rPr>
                    <w:t xml:space="preserve">$ </w:t>
                  </w:r>
                  <w:r w:rsidR="00E03612" w:rsidRPr="002E4D67">
                    <w:rPr>
                      <w:rFonts w:cstheme="minorHAnsi"/>
                      <w:lang w:val="en-US"/>
                    </w:rPr>
                    <w:t>1.00</w:t>
                  </w:r>
                </w:p>
              </w:tc>
              <w:tc>
                <w:tcPr>
                  <w:tcW w:w="1095" w:type="dxa"/>
                  <w:tcBorders>
                    <w:right w:val="double" w:sz="4" w:space="0" w:color="auto"/>
                  </w:tcBorders>
                  <w:hideMark/>
                </w:tcPr>
                <w:p w14:paraId="78A4BAC4" w14:textId="77777777" w:rsidR="00E03612" w:rsidRPr="002E4D67" w:rsidRDefault="00E03612" w:rsidP="00F074A1">
                  <w:pPr>
                    <w:pStyle w:val="Textkrper"/>
                    <w:jc w:val="left"/>
                    <w:rPr>
                      <w:rFonts w:cstheme="minorHAnsi"/>
                      <w:lang w:val="en-US"/>
                    </w:rPr>
                  </w:pPr>
                  <w:r w:rsidRPr="002E4D67">
                    <w:rPr>
                      <w:rFonts w:cstheme="minorHAnsi"/>
                      <w:lang w:val="en-US"/>
                    </w:rPr>
                    <w:t>General public via official WYND channels</w:t>
                  </w:r>
                </w:p>
              </w:tc>
            </w:tr>
          </w:tbl>
          <w:p w14:paraId="6E36EA48" w14:textId="25C6C87B" w:rsidR="00E03612" w:rsidRPr="002E4D67" w:rsidRDefault="00E03612" w:rsidP="00E03612">
            <w:pPr>
              <w:pStyle w:val="Textkrper"/>
              <w:rPr>
                <w:rFonts w:cstheme="minorHAnsi"/>
                <w:lang w:val="en-US"/>
              </w:rPr>
            </w:pPr>
            <w:r w:rsidRPr="002E4D67">
              <w:rPr>
                <w:rStyle w:val="Fett"/>
                <w:rFonts w:cstheme="minorHAnsi"/>
                <w:lang w:val="en-US"/>
              </w:rPr>
              <w:t>Total Funding Allocation:</w:t>
            </w:r>
            <w:r w:rsidRPr="002E4D67">
              <w:rPr>
                <w:rFonts w:cstheme="minorHAnsi"/>
                <w:lang w:val="en-US"/>
              </w:rPr>
              <w:t xml:space="preserve"> 16,000,000 tokens (16 % of total supply)</w:t>
            </w:r>
            <w:r w:rsidRPr="002E4D67">
              <w:rPr>
                <w:rFonts w:cstheme="minorHAnsi"/>
                <w:lang w:val="en-US"/>
              </w:rPr>
              <w:br/>
            </w:r>
            <w:r w:rsidRPr="002E4D67">
              <w:rPr>
                <w:rStyle w:val="Fett"/>
                <w:rFonts w:cstheme="minorHAnsi"/>
                <w:lang w:val="en-US"/>
              </w:rPr>
              <w:t>Total Fundraising Volume:</w:t>
            </w:r>
            <w:r w:rsidRPr="002E4D67">
              <w:rPr>
                <w:rFonts w:cstheme="minorHAnsi"/>
                <w:lang w:val="en-US"/>
              </w:rPr>
              <w:t xml:space="preserve"> ~ USD 11 million.</w:t>
            </w:r>
          </w:p>
          <w:p w14:paraId="4BC6B548" w14:textId="77777777" w:rsidR="00E03612" w:rsidRPr="002E4D67" w:rsidRDefault="00E03612" w:rsidP="00E03612">
            <w:pPr>
              <w:pStyle w:val="Textkrper"/>
              <w:rPr>
                <w:rFonts w:cstheme="minorHAnsi"/>
                <w:lang w:val="en-US"/>
              </w:rPr>
            </w:pPr>
            <w:bookmarkStart w:id="196" w:name="_cp_change_501"/>
            <w:bookmarkStart w:id="197" w:name="_cp_change_503"/>
            <w:r w:rsidRPr="002E4D67">
              <w:rPr>
                <w:rFonts w:cstheme="minorHAnsi"/>
                <w:lang w:val="en-US"/>
              </w:rPr>
              <w:t xml:space="preserve">The $WYND Utility Token is offered to the public at a </w:t>
            </w:r>
            <w:r w:rsidRPr="002E4D67">
              <w:rPr>
                <w:rStyle w:val="Fett"/>
                <w:rFonts w:cstheme="minorHAnsi"/>
                <w:lang w:val="en-US"/>
              </w:rPr>
              <w:t>fixed issue price of USD 1.00 per token</w:t>
            </w:r>
            <w:r w:rsidRPr="002E4D67">
              <w:rPr>
                <w:rFonts w:cstheme="minorHAnsi"/>
                <w:lang w:val="en-US"/>
              </w:rPr>
              <w:t xml:space="preserve"> during the </w:t>
            </w:r>
            <w:r w:rsidRPr="002E4D67">
              <w:rPr>
                <w:rStyle w:val="Fett"/>
                <w:rFonts w:cstheme="minorHAnsi"/>
                <w:lang w:val="en-US"/>
              </w:rPr>
              <w:t>Public Offering phase</w:t>
            </w:r>
            <w:r w:rsidRPr="002E4D67">
              <w:rPr>
                <w:rFonts w:cstheme="minorHAnsi"/>
                <w:lang w:val="en-US"/>
              </w:rPr>
              <w:t>.</w:t>
            </w:r>
          </w:p>
          <w:p w14:paraId="21255F01" w14:textId="77777777" w:rsidR="00E03612" w:rsidRPr="002E4D67" w:rsidRDefault="00E03612" w:rsidP="00E03612">
            <w:pPr>
              <w:pStyle w:val="Textkrper"/>
              <w:rPr>
                <w:rFonts w:cstheme="minorHAnsi"/>
                <w:lang w:val="en-US"/>
              </w:rPr>
            </w:pPr>
            <w:r w:rsidRPr="002E4D67">
              <w:rPr>
                <w:rFonts w:cstheme="minorHAnsi"/>
                <w:lang w:val="en-US"/>
              </w:rPr>
              <w:t xml:space="preserve">The public offering is denominated in </w:t>
            </w:r>
            <w:r w:rsidRPr="002E4D67">
              <w:rPr>
                <w:rStyle w:val="Fett"/>
                <w:rFonts w:cstheme="minorHAnsi"/>
                <w:lang w:val="en-US"/>
              </w:rPr>
              <w:t>USD</w:t>
            </w:r>
            <w:r w:rsidRPr="002E4D67">
              <w:rPr>
                <w:rFonts w:cstheme="minorHAnsi"/>
                <w:lang w:val="en-US"/>
              </w:rPr>
              <w:t>.</w:t>
            </w:r>
            <w:r w:rsidRPr="002E4D67">
              <w:rPr>
                <w:rFonts w:cstheme="minorHAnsi"/>
                <w:lang w:val="en-US"/>
              </w:rPr>
              <w:br/>
              <w:t>Subscriptions may be paid in:</w:t>
            </w:r>
          </w:p>
          <w:p w14:paraId="31BA66A8" w14:textId="77777777" w:rsidR="00E03612" w:rsidRPr="002E4D67" w:rsidRDefault="00E03612" w:rsidP="00E03612">
            <w:pPr>
              <w:pStyle w:val="Textkrper"/>
              <w:rPr>
                <w:rFonts w:cstheme="minorHAnsi"/>
                <w:lang w:val="en-US"/>
              </w:rPr>
            </w:pPr>
            <w:r w:rsidRPr="002E4D67">
              <w:rPr>
                <w:rStyle w:val="Fett"/>
                <w:rFonts w:cstheme="minorHAnsi"/>
                <w:lang w:val="en-US"/>
              </w:rPr>
              <w:t>official currencies:</w:t>
            </w:r>
            <w:r w:rsidRPr="002E4D67">
              <w:rPr>
                <w:rFonts w:cstheme="minorHAnsi"/>
                <w:lang w:val="en-US"/>
              </w:rPr>
              <w:t xml:space="preserve"> EUR or USD, or</w:t>
            </w:r>
          </w:p>
          <w:p w14:paraId="570104D6" w14:textId="77777777" w:rsidR="00E03612" w:rsidRPr="002E4D67" w:rsidRDefault="00E03612" w:rsidP="00E03612">
            <w:pPr>
              <w:pStyle w:val="Textkrper"/>
              <w:rPr>
                <w:rFonts w:cstheme="minorHAnsi"/>
                <w:lang w:val="en-US"/>
              </w:rPr>
            </w:pPr>
            <w:r w:rsidRPr="002E4D67">
              <w:rPr>
                <w:rStyle w:val="Fett"/>
                <w:rFonts w:cstheme="minorHAnsi"/>
                <w:lang w:val="en-US"/>
              </w:rPr>
              <w:t>approved crypto-assets:</w:t>
            </w:r>
            <w:r w:rsidRPr="002E4D67">
              <w:rPr>
                <w:rFonts w:cstheme="minorHAnsi"/>
                <w:lang w:val="en-US"/>
              </w:rPr>
              <w:t xml:space="preserve"> ETH (Ethereum) and USDT (Tether).</w:t>
            </w:r>
          </w:p>
          <w:p w14:paraId="5D235C5C" w14:textId="77777777" w:rsidR="00E03612" w:rsidRPr="002E4D67" w:rsidRDefault="00E03612" w:rsidP="00E03612">
            <w:pPr>
              <w:pStyle w:val="Textkrper"/>
              <w:rPr>
                <w:rFonts w:cstheme="minorHAnsi"/>
                <w:lang w:val="en-US"/>
              </w:rPr>
            </w:pPr>
            <w:r w:rsidRPr="002E4D67">
              <w:rPr>
                <w:rFonts w:cstheme="minorHAnsi"/>
                <w:lang w:val="en-US"/>
              </w:rPr>
              <w:t>For payments in crypto-assets, the equivalent USD value is determined at the time of subscription using a reliable market reference (e.g., CoinMarketCap or CoinGecko API) to ensure full value equivalence to USD 1.00 per token.</w:t>
            </w:r>
          </w:p>
          <w:p w14:paraId="309B0E5D" w14:textId="77777777" w:rsidR="00E03612" w:rsidRPr="002E4D67" w:rsidRDefault="00E03612" w:rsidP="00E03612">
            <w:pPr>
              <w:pStyle w:val="Textkrper"/>
              <w:rPr>
                <w:rStyle w:val="Fett"/>
                <w:rFonts w:cstheme="minorHAnsi"/>
                <w:b w:val="0"/>
                <w:bCs w:val="0"/>
                <w:lang w:val="en-US"/>
              </w:rPr>
            </w:pPr>
            <w:r w:rsidRPr="002E4D67">
              <w:rPr>
                <w:rFonts w:cstheme="minorHAnsi"/>
                <w:lang w:val="en-US"/>
              </w:rPr>
              <w:t xml:space="preserve">The issue price remains </w:t>
            </w:r>
            <w:r w:rsidRPr="002E4D67">
              <w:rPr>
                <w:rStyle w:val="Fett"/>
                <w:rFonts w:cstheme="minorHAnsi"/>
                <w:lang w:val="en-US"/>
              </w:rPr>
              <w:t>fixed</w:t>
            </w:r>
            <w:r w:rsidRPr="002E4D67">
              <w:rPr>
                <w:rFonts w:cstheme="minorHAnsi"/>
                <w:lang w:val="en-US"/>
              </w:rPr>
              <w:t xml:space="preserve"> throughout the public offering period.</w:t>
            </w:r>
            <w:r w:rsidRPr="002E4D67">
              <w:rPr>
                <w:rFonts w:cstheme="minorHAnsi"/>
                <w:lang w:val="en-US"/>
              </w:rPr>
              <w:br/>
              <w:t>No dynamic pricing, auction, or variable rate mechanism applies.</w:t>
            </w:r>
            <w:bookmarkStart w:id="198" w:name="_cp_change_517"/>
            <w:bookmarkEnd w:id="196"/>
            <w:bookmarkEnd w:id="197"/>
          </w:p>
          <w:bookmarkEnd w:id="198"/>
          <w:p w14:paraId="4782D090" w14:textId="77777777" w:rsidR="00E03612" w:rsidRPr="002E4D67" w:rsidRDefault="00E03612" w:rsidP="00E03612">
            <w:pPr>
              <w:pStyle w:val="Textkrper"/>
              <w:rPr>
                <w:rFonts w:cstheme="minorHAnsi"/>
                <w:lang w:val="en-US"/>
              </w:rPr>
            </w:pPr>
            <w:r w:rsidRPr="002E4D67">
              <w:rPr>
                <w:rFonts w:cstheme="minorHAnsi"/>
                <w:lang w:val="en-US"/>
              </w:rPr>
              <w:t>WYND Capital GmbH reserves the right to terminate the Public Offering before all allocated tokens are sold. The Public Offering will conclude either when the full allocation is sold or at the discretion of WYND Capital GmbH, depending on market conditions.</w:t>
            </w:r>
          </w:p>
          <w:p w14:paraId="008808CC" w14:textId="77777777" w:rsidR="00E03612" w:rsidRPr="002E4D67" w:rsidRDefault="00E03612" w:rsidP="00E03612">
            <w:pPr>
              <w:pStyle w:val="Textkrper"/>
              <w:rPr>
                <w:rFonts w:cstheme="minorHAnsi"/>
                <w:lang w:val="en-US"/>
              </w:rPr>
            </w:pPr>
            <w:r w:rsidRPr="002E4D67">
              <w:rPr>
                <w:rFonts w:cstheme="minorHAnsi"/>
                <w:lang w:val="en-US"/>
              </w:rPr>
              <w:t>To comply with investor withdrawal rights under MiCAR (Article 13), the Token Generation Event (TGE) will occur 15 days after the official conclusion of the Public Offering.</w:t>
            </w:r>
          </w:p>
          <w:p w14:paraId="7DC61D79" w14:textId="77777777" w:rsidR="00E03612" w:rsidRPr="002E4D67" w:rsidRDefault="00E03612" w:rsidP="00E03612">
            <w:pPr>
              <w:pStyle w:val="Textkrper"/>
              <w:rPr>
                <w:rFonts w:cstheme="minorHAnsi"/>
                <w:b/>
                <w:bCs/>
                <w:lang w:val="en-US"/>
              </w:rPr>
            </w:pPr>
            <w:r w:rsidRPr="002E4D67">
              <w:rPr>
                <w:rFonts w:cstheme="minorHAnsi"/>
                <w:b/>
                <w:bCs/>
                <w:lang w:val="en-US"/>
              </w:rPr>
              <w:t>Justification for Differentiated Pricing</w:t>
            </w:r>
          </w:p>
          <w:p w14:paraId="3465A0F9" w14:textId="77777777" w:rsidR="00E03612" w:rsidRPr="002E4D67" w:rsidRDefault="00E03612" w:rsidP="00E03612">
            <w:pPr>
              <w:pStyle w:val="Textkrper"/>
              <w:rPr>
                <w:rFonts w:cstheme="minorHAnsi"/>
                <w:lang w:val="en-US"/>
              </w:rPr>
            </w:pPr>
            <w:r w:rsidRPr="002E4D67">
              <w:rPr>
                <w:rFonts w:cstheme="minorHAnsi"/>
                <w:lang w:val="en-US"/>
              </w:rPr>
              <w:t>The tiered pricing model ensures that early participants are compensated for their increased market risk and longer vesting periods:</w:t>
            </w:r>
          </w:p>
          <w:p w14:paraId="39DD329F" w14:textId="77777777" w:rsidR="00E03612" w:rsidRPr="002E4D67" w:rsidRDefault="00E03612" w:rsidP="00E03612">
            <w:pPr>
              <w:pStyle w:val="Textkrper"/>
              <w:rPr>
                <w:rFonts w:cstheme="minorHAnsi"/>
                <w:lang w:val="en-US"/>
              </w:rPr>
            </w:pPr>
            <w:r w:rsidRPr="002E4D67">
              <w:rPr>
                <w:rFonts w:cstheme="minorHAnsi"/>
                <w:lang w:val="en-US"/>
              </w:rPr>
              <w:lastRenderedPageBreak/>
              <w:t>Early-phase purchasers accept longer lock-up periods, which delays their ability to transfer tokens. In return, they receive a lower purchase price as compensation.</w:t>
            </w:r>
          </w:p>
          <w:p w14:paraId="75EBC025" w14:textId="77777777" w:rsidR="00E03612" w:rsidRPr="002E4D67" w:rsidRDefault="00E03612" w:rsidP="00E03612">
            <w:pPr>
              <w:pStyle w:val="Textkrper"/>
              <w:rPr>
                <w:rFonts w:cstheme="minorHAnsi"/>
                <w:lang w:val="en-US"/>
              </w:rPr>
            </w:pPr>
            <w:r w:rsidRPr="002E4D67">
              <w:rPr>
                <w:rFonts w:cstheme="minorHAnsi"/>
                <w:lang w:val="en-US"/>
              </w:rPr>
              <w:t>Later-phase purchasers pay higher prices but benefit from earlier liquidity access.</w:t>
            </w:r>
          </w:p>
          <w:p w14:paraId="70374918" w14:textId="77777777" w:rsidR="00E03612" w:rsidRPr="002E4D67" w:rsidRDefault="00E03612" w:rsidP="00E03612">
            <w:pPr>
              <w:pStyle w:val="Textkrper"/>
              <w:rPr>
                <w:rFonts w:cstheme="minorHAnsi"/>
                <w:lang w:val="en-US"/>
              </w:rPr>
            </w:pPr>
            <w:r w:rsidRPr="002E4D67">
              <w:rPr>
                <w:rFonts w:cstheme="minorHAnsi"/>
                <w:lang w:val="en-US"/>
              </w:rPr>
              <w:t>This model balances incentives between early adopters and later-stage purchasers while maintaining fair price discovery.</w:t>
            </w:r>
          </w:p>
          <w:p w14:paraId="13FC0F17" w14:textId="77777777" w:rsidR="00E03612" w:rsidRPr="002E4D67" w:rsidRDefault="00E03612" w:rsidP="00E03612">
            <w:pPr>
              <w:pStyle w:val="Textkrper"/>
              <w:rPr>
                <w:rFonts w:cstheme="minorHAnsi"/>
                <w:b/>
                <w:bCs/>
                <w:lang w:val="en-US"/>
              </w:rPr>
            </w:pPr>
            <w:r w:rsidRPr="002E4D67">
              <w:rPr>
                <w:rFonts w:cstheme="minorHAnsi"/>
                <w:b/>
                <w:bCs/>
                <w:lang w:val="en-US"/>
              </w:rPr>
              <w:t>Impact on Other Purchasers</w:t>
            </w:r>
          </w:p>
          <w:p w14:paraId="47DB9216" w14:textId="77777777" w:rsidR="00E03612" w:rsidRPr="002E4D67" w:rsidRDefault="00E03612" w:rsidP="00E03612">
            <w:pPr>
              <w:pStyle w:val="Textkrper"/>
              <w:rPr>
                <w:rFonts w:cstheme="minorHAnsi"/>
                <w:lang w:val="en-US"/>
              </w:rPr>
            </w:pPr>
            <w:r w:rsidRPr="002E4D67">
              <w:rPr>
                <w:rFonts w:cstheme="minorHAnsi"/>
                <w:lang w:val="en-US"/>
              </w:rPr>
              <w:t>The Public Offering pricing model is structured to ensure fairness for all participants:</w:t>
            </w:r>
          </w:p>
          <w:p w14:paraId="4D8040B1" w14:textId="77777777" w:rsidR="00E03612" w:rsidRPr="002E4D67" w:rsidRDefault="00E03612" w:rsidP="00E03612">
            <w:pPr>
              <w:pStyle w:val="Textkrper"/>
              <w:rPr>
                <w:rFonts w:cstheme="minorHAnsi"/>
                <w:lang w:val="en-US"/>
              </w:rPr>
            </w:pPr>
            <w:r w:rsidRPr="002E4D67">
              <w:rPr>
                <w:rStyle w:val="Fett"/>
                <w:rFonts w:cstheme="minorHAnsi"/>
                <w:lang w:val="en-US"/>
              </w:rPr>
              <w:t>No dilution effect</w:t>
            </w:r>
            <w:r w:rsidRPr="002E4D67">
              <w:rPr>
                <w:rFonts w:cstheme="minorHAnsi"/>
                <w:lang w:val="en-US"/>
              </w:rPr>
              <w:t xml:space="preserve"> – The total token supply </w:t>
            </w:r>
            <w:bookmarkStart w:id="199" w:name="_cp_change_607"/>
            <w:r w:rsidRPr="002E4D67">
              <w:rPr>
                <w:rFonts w:cstheme="minorHAnsi"/>
                <w:lang w:val="en-US"/>
              </w:rPr>
              <w:t>s</w:t>
            </w:r>
            <w:bookmarkStart w:id="200" w:name="_cp_change_608"/>
            <w:bookmarkEnd w:id="199"/>
            <w:r w:rsidRPr="002E4D67">
              <w:rPr>
                <w:rFonts w:cstheme="minorHAnsi"/>
                <w:lang w:val="en-US"/>
              </w:rPr>
              <w:t>is</w:t>
            </w:r>
            <w:bookmarkEnd w:id="200"/>
            <w:r w:rsidRPr="002E4D67">
              <w:rPr>
                <w:rFonts w:cstheme="minorHAnsi"/>
                <w:lang w:val="en-US"/>
              </w:rPr>
              <w:t xml:space="preserve"> fixed at </w:t>
            </w:r>
            <w:bookmarkStart w:id="201" w:name="_cp_change_610"/>
            <w:r w:rsidRPr="002E4D67">
              <w:rPr>
                <w:lang w:val="en-US"/>
              </w:rPr>
              <w:t>100,000,000 WYND Tokens</w:t>
            </w:r>
            <w:bookmarkEnd w:id="201"/>
            <w:r w:rsidRPr="002E4D67">
              <w:rPr>
                <w:rFonts w:cstheme="minorHAnsi"/>
                <w:lang w:val="en-US"/>
              </w:rPr>
              <w:t xml:space="preserve">, ensuring that pricing variations </w:t>
            </w:r>
            <w:bookmarkStart w:id="202" w:name="_cp_change_611"/>
            <w:r w:rsidRPr="002E4D67">
              <w:rPr>
                <w:rFonts w:cstheme="minorHAnsi"/>
                <w:lang w:val="en-US"/>
              </w:rPr>
              <w:t xml:space="preserve">across rounds </w:t>
            </w:r>
            <w:bookmarkEnd w:id="202"/>
            <w:r w:rsidRPr="002E4D67">
              <w:rPr>
                <w:rFonts w:cstheme="minorHAnsi"/>
                <w:lang w:val="en-US"/>
              </w:rPr>
              <w:t xml:space="preserve">do not impact the </w:t>
            </w:r>
            <w:bookmarkStart w:id="203" w:name="_cp_change_613"/>
            <w:r w:rsidRPr="002E4D67">
              <w:rPr>
                <w:rFonts w:cstheme="minorHAnsi"/>
                <w:lang w:val="en-US"/>
              </w:rPr>
              <w:t>overall</w:t>
            </w:r>
            <w:bookmarkEnd w:id="203"/>
            <w:r w:rsidRPr="002E4D67">
              <w:rPr>
                <w:rFonts w:cstheme="minorHAnsi"/>
                <w:lang w:val="en-US"/>
              </w:rPr>
              <w:t xml:space="preserve"> number of tokens available.</w:t>
            </w:r>
          </w:p>
          <w:p w14:paraId="5BA8460F" w14:textId="02F341E9" w:rsidR="00E03612" w:rsidRPr="002E4D67" w:rsidRDefault="00E03612" w:rsidP="00E03612">
            <w:pPr>
              <w:pStyle w:val="Textkrper"/>
              <w:rPr>
                <w:rFonts w:cstheme="minorHAnsi"/>
                <w:lang w:val="en-US"/>
              </w:rPr>
            </w:pPr>
            <w:r w:rsidRPr="002E4D67">
              <w:rPr>
                <w:rFonts w:ascii="Arial" w:hAnsi="Arial" w:cs="Arial"/>
                <w:b/>
                <w:bCs/>
                <w:color w:val="222222"/>
                <w:shd w:val="clear" w:color="auto" w:fill="FFFFFF"/>
                <w:lang w:val="en-US"/>
              </w:rPr>
              <w:t>Market stability</w:t>
            </w:r>
            <w:r w:rsidRPr="002E4D67">
              <w:rPr>
                <w:rFonts w:ascii="Arial" w:hAnsi="Arial" w:cs="Arial"/>
                <w:color w:val="222222"/>
                <w:shd w:val="clear" w:color="auto" w:fill="FFFFFF"/>
                <w:lang w:val="en-US"/>
              </w:rPr>
              <w:t xml:space="preserve"> – The strict vesting schedules (ranging from 4 to 48 months, with cliffs of 6–12 months for team, advisory, and investors) prevent sudden mass sell-offs, protecting later purchasers from excessive volatility caused by early participants.</w:t>
            </w:r>
          </w:p>
        </w:tc>
      </w:tr>
      <w:tr w:rsidR="00E03612" w:rsidRPr="002E4D67" w14:paraId="5CDFA49A" w14:textId="77777777" w:rsidTr="00D64090">
        <w:tc>
          <w:tcPr>
            <w:tcW w:w="1985" w:type="dxa"/>
          </w:tcPr>
          <w:p w14:paraId="799D82BD" w14:textId="2C7A66D1" w:rsidR="00E03612" w:rsidRPr="002E4D67" w:rsidRDefault="00E03612" w:rsidP="00E03612">
            <w:pPr>
              <w:pStyle w:val="berschrift1"/>
              <w:keepNext w:val="0"/>
              <w:keepLines w:val="0"/>
              <w:rPr>
                <w:lang w:val="en-US"/>
              </w:rPr>
            </w:pPr>
            <w:bookmarkStart w:id="204" w:name="_Toc212017887"/>
            <w:bookmarkStart w:id="205" w:name="_Toc213164169"/>
            <w:bookmarkStart w:id="206" w:name="_Toc213179152"/>
            <w:r w:rsidRPr="002E4D67">
              <w:rPr>
                <w:lang w:val="en-US"/>
              </w:rPr>
              <w:lastRenderedPageBreak/>
              <w:t>E.9 Official currency or any other crypto-assets determining the issue price</w:t>
            </w:r>
            <w:bookmarkEnd w:id="204"/>
            <w:bookmarkEnd w:id="205"/>
            <w:bookmarkEnd w:id="206"/>
          </w:p>
        </w:tc>
        <w:tc>
          <w:tcPr>
            <w:tcW w:w="6371" w:type="dxa"/>
          </w:tcPr>
          <w:p w14:paraId="2AAD7EA1" w14:textId="77777777" w:rsidR="00E03612" w:rsidRPr="002E4D67" w:rsidRDefault="00E03612" w:rsidP="00E03612">
            <w:pPr>
              <w:pStyle w:val="Textkrper"/>
              <w:rPr>
                <w:rFonts w:cstheme="minorHAnsi"/>
                <w:lang w:val="en-US"/>
              </w:rPr>
            </w:pPr>
            <w:r w:rsidRPr="002E4D67">
              <w:rPr>
                <w:rFonts w:cstheme="minorHAnsi"/>
                <w:lang w:val="en-US"/>
              </w:rPr>
              <w:t>USD</w:t>
            </w:r>
          </w:p>
        </w:tc>
      </w:tr>
      <w:tr w:rsidR="00E03612" w:rsidRPr="002E4D67" w14:paraId="0197574E" w14:textId="77777777" w:rsidTr="00D64090">
        <w:tc>
          <w:tcPr>
            <w:tcW w:w="1985" w:type="dxa"/>
          </w:tcPr>
          <w:p w14:paraId="33678748" w14:textId="7B9C0919" w:rsidR="00E03612" w:rsidRPr="002E4D67" w:rsidRDefault="00E03612" w:rsidP="00E03612">
            <w:pPr>
              <w:pStyle w:val="berschrift1"/>
              <w:keepNext w:val="0"/>
              <w:keepLines w:val="0"/>
              <w:rPr>
                <w:lang w:val="en-US"/>
              </w:rPr>
            </w:pPr>
            <w:bookmarkStart w:id="207" w:name="_Toc212017889"/>
            <w:bookmarkStart w:id="208" w:name="_Toc213164170"/>
            <w:bookmarkStart w:id="209" w:name="_Toc213179153"/>
            <w:r w:rsidRPr="002E4D67">
              <w:rPr>
                <w:lang w:val="en-US"/>
              </w:rPr>
              <w:t>E.10 Subscription fee</w:t>
            </w:r>
            <w:bookmarkEnd w:id="207"/>
            <w:bookmarkEnd w:id="208"/>
            <w:bookmarkEnd w:id="209"/>
          </w:p>
        </w:tc>
        <w:tc>
          <w:tcPr>
            <w:tcW w:w="6371" w:type="dxa"/>
          </w:tcPr>
          <w:p w14:paraId="1309FF64" w14:textId="34F8E469" w:rsidR="00E03612" w:rsidRPr="002E4D67" w:rsidRDefault="00E03612" w:rsidP="00E03612">
            <w:pPr>
              <w:pStyle w:val="Textkrper"/>
              <w:rPr>
                <w:rFonts w:cstheme="minorHAnsi"/>
                <w:lang w:val="en-US"/>
              </w:rPr>
            </w:pPr>
            <w:r w:rsidRPr="002E4D67">
              <w:rPr>
                <w:rFonts w:cstheme="minorHAnsi"/>
                <w:lang w:val="en-US"/>
              </w:rPr>
              <w:t xml:space="preserve">Not applicable. </w:t>
            </w:r>
          </w:p>
        </w:tc>
      </w:tr>
      <w:tr w:rsidR="00E03612" w:rsidRPr="002E4D67" w14:paraId="3E29D3DA" w14:textId="77777777" w:rsidTr="00D64090">
        <w:tc>
          <w:tcPr>
            <w:tcW w:w="1985" w:type="dxa"/>
          </w:tcPr>
          <w:p w14:paraId="73F9780E" w14:textId="1C0E62C8" w:rsidR="00E03612" w:rsidRPr="002E4D67" w:rsidRDefault="00E03612" w:rsidP="00E03612">
            <w:pPr>
              <w:pStyle w:val="berschrift1"/>
              <w:keepNext w:val="0"/>
              <w:keepLines w:val="0"/>
              <w:rPr>
                <w:lang w:val="en-US"/>
              </w:rPr>
            </w:pPr>
            <w:bookmarkStart w:id="210" w:name="_Toc212017891"/>
            <w:bookmarkStart w:id="211" w:name="_Toc213164171"/>
            <w:bookmarkStart w:id="212" w:name="_Toc213179154"/>
            <w:r w:rsidRPr="002E4D67">
              <w:rPr>
                <w:lang w:val="en-US"/>
              </w:rPr>
              <w:t>E.11 Offer price determination method</w:t>
            </w:r>
            <w:bookmarkEnd w:id="210"/>
            <w:bookmarkEnd w:id="211"/>
            <w:bookmarkEnd w:id="212"/>
          </w:p>
        </w:tc>
        <w:tc>
          <w:tcPr>
            <w:tcW w:w="6371" w:type="dxa"/>
          </w:tcPr>
          <w:p w14:paraId="391B6F09" w14:textId="77777777" w:rsidR="00E03612" w:rsidRPr="002E4D67" w:rsidRDefault="00E03612" w:rsidP="00E03612">
            <w:pPr>
              <w:pStyle w:val="Textkrper"/>
              <w:rPr>
                <w:rFonts w:cstheme="minorHAnsi"/>
                <w:lang w:val="en-US"/>
              </w:rPr>
            </w:pPr>
            <w:r w:rsidRPr="002E4D67">
              <w:rPr>
                <w:rFonts w:cstheme="minorHAnsi"/>
                <w:lang w:val="en-US"/>
              </w:rPr>
              <w:t xml:space="preserve">The offer price of the $WYND Utility Token during the Public Offering has been </w:t>
            </w:r>
            <w:r w:rsidRPr="002E4D67">
              <w:rPr>
                <w:rStyle w:val="Fett"/>
                <w:rFonts w:cstheme="minorHAnsi"/>
                <w:lang w:val="en-US"/>
              </w:rPr>
              <w:t>administratively determined</w:t>
            </w:r>
            <w:r w:rsidRPr="002E4D67">
              <w:rPr>
                <w:rFonts w:cstheme="minorHAnsi"/>
                <w:lang w:val="en-US"/>
              </w:rPr>
              <w:t xml:space="preserve"> by WYND Capital GmbH.</w:t>
            </w:r>
            <w:r w:rsidRPr="002E4D67">
              <w:rPr>
                <w:rFonts w:cstheme="minorHAnsi"/>
                <w:lang w:val="en-US"/>
              </w:rPr>
              <w:br/>
              <w:t xml:space="preserve">It is </w:t>
            </w:r>
            <w:r w:rsidRPr="002E4D67">
              <w:rPr>
                <w:rStyle w:val="Fett"/>
                <w:rFonts w:cstheme="minorHAnsi"/>
                <w:lang w:val="en-US"/>
              </w:rPr>
              <w:t>not based on market demand or trading dynamics</w:t>
            </w:r>
            <w:r w:rsidRPr="002E4D67">
              <w:rPr>
                <w:rFonts w:cstheme="minorHAnsi"/>
                <w:lang w:val="en-US"/>
              </w:rPr>
              <w:t>, but on an internally defined valuation model that reflects the projected service value and operational cost structure of the WYND ecosystem.</w:t>
            </w:r>
          </w:p>
          <w:p w14:paraId="6C7F72A0" w14:textId="77777777" w:rsidR="00E03612" w:rsidRPr="002E4D67" w:rsidRDefault="00E03612" w:rsidP="00E03612">
            <w:pPr>
              <w:pStyle w:val="Textkrper"/>
              <w:rPr>
                <w:rFonts w:cstheme="minorHAnsi"/>
                <w:lang w:val="en-US"/>
              </w:rPr>
            </w:pPr>
            <w:r w:rsidRPr="002E4D67">
              <w:rPr>
                <w:rFonts w:cstheme="minorHAnsi"/>
                <w:lang w:val="en-US"/>
              </w:rPr>
              <w:t>The public offering of the $WYND token takes place in five defined funding rounds.</w:t>
            </w:r>
          </w:p>
          <w:p w14:paraId="705D5377" w14:textId="77777777" w:rsidR="00E03612" w:rsidRPr="002E4D67" w:rsidRDefault="00E03612" w:rsidP="00E03612">
            <w:pPr>
              <w:pStyle w:val="Textkrper"/>
              <w:rPr>
                <w:rFonts w:cstheme="minorHAnsi"/>
                <w:lang w:val="en-US"/>
              </w:rPr>
            </w:pPr>
            <w:r w:rsidRPr="002E4D67">
              <w:rPr>
                <w:rFonts w:cstheme="minorHAnsi"/>
                <w:lang w:val="en-US"/>
              </w:rPr>
              <w:lastRenderedPageBreak/>
              <w:t>Each round has a fixed token price, cliff, vesting schedule, and allocation cap.</w:t>
            </w:r>
          </w:p>
          <w:tbl>
            <w:tblPr>
              <w:tblW w:w="5991"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877"/>
              <w:gridCol w:w="709"/>
              <w:gridCol w:w="709"/>
              <w:gridCol w:w="1020"/>
              <w:gridCol w:w="634"/>
              <w:gridCol w:w="898"/>
              <w:gridCol w:w="1144"/>
            </w:tblGrid>
            <w:tr w:rsidR="00CA2AB0" w:rsidRPr="002E4D67" w14:paraId="041084E6" w14:textId="77777777" w:rsidTr="00CA2AB0">
              <w:trPr>
                <w:tblHeader/>
                <w:tblCellSpacing w:w="15" w:type="dxa"/>
              </w:trPr>
              <w:tc>
                <w:tcPr>
                  <w:tcW w:w="832" w:type="dxa"/>
                  <w:vAlign w:val="center"/>
                  <w:hideMark/>
                </w:tcPr>
                <w:p w14:paraId="4757F949" w14:textId="77777777" w:rsidR="00E03612" w:rsidRPr="002E4D67" w:rsidRDefault="00E03612" w:rsidP="00E03612">
                  <w:pPr>
                    <w:pStyle w:val="Textkrper"/>
                    <w:rPr>
                      <w:rFonts w:cstheme="minorHAnsi"/>
                      <w:lang w:val="en-US"/>
                    </w:rPr>
                  </w:pPr>
                  <w:r w:rsidRPr="002E4D67">
                    <w:rPr>
                      <w:rStyle w:val="Fett"/>
                      <w:rFonts w:cstheme="minorHAnsi"/>
                      <w:lang w:val="en-US"/>
                    </w:rPr>
                    <w:t>Round / Investor Group</w:t>
                  </w:r>
                </w:p>
              </w:tc>
              <w:tc>
                <w:tcPr>
                  <w:tcW w:w="679" w:type="dxa"/>
                  <w:vAlign w:val="center"/>
                  <w:hideMark/>
                </w:tcPr>
                <w:p w14:paraId="15034581" w14:textId="77777777" w:rsidR="00E03612" w:rsidRPr="002E4D67" w:rsidRDefault="00E03612" w:rsidP="00E03612">
                  <w:pPr>
                    <w:pStyle w:val="Textkrper"/>
                    <w:rPr>
                      <w:rFonts w:cstheme="minorHAnsi"/>
                      <w:lang w:val="en-US"/>
                    </w:rPr>
                  </w:pPr>
                  <w:r w:rsidRPr="002E4D67">
                    <w:rPr>
                      <w:rStyle w:val="Fett"/>
                      <w:rFonts w:cstheme="minorHAnsi"/>
                      <w:lang w:val="en-US"/>
                    </w:rPr>
                    <w:t>Cliff (months)</w:t>
                  </w:r>
                </w:p>
              </w:tc>
              <w:tc>
                <w:tcPr>
                  <w:tcW w:w="679" w:type="dxa"/>
                  <w:vAlign w:val="center"/>
                  <w:hideMark/>
                </w:tcPr>
                <w:p w14:paraId="398E337D" w14:textId="77777777" w:rsidR="00E03612" w:rsidRPr="002E4D67" w:rsidRDefault="00E03612" w:rsidP="00E03612">
                  <w:pPr>
                    <w:pStyle w:val="Textkrper"/>
                    <w:rPr>
                      <w:rFonts w:cstheme="minorHAnsi"/>
                      <w:lang w:val="en-US"/>
                    </w:rPr>
                  </w:pPr>
                  <w:r w:rsidRPr="002E4D67">
                    <w:rPr>
                      <w:rStyle w:val="Fett"/>
                      <w:rFonts w:cstheme="minorHAnsi"/>
                      <w:lang w:val="en-US"/>
                    </w:rPr>
                    <w:t>Vesting (months)</w:t>
                  </w:r>
                </w:p>
              </w:tc>
              <w:tc>
                <w:tcPr>
                  <w:tcW w:w="990" w:type="dxa"/>
                  <w:vAlign w:val="center"/>
                  <w:hideMark/>
                </w:tcPr>
                <w:p w14:paraId="1F5A2325" w14:textId="77777777" w:rsidR="00E03612" w:rsidRPr="002E4D67" w:rsidRDefault="00E03612" w:rsidP="00E03612">
                  <w:pPr>
                    <w:pStyle w:val="Textkrper"/>
                    <w:rPr>
                      <w:rFonts w:cstheme="minorHAnsi"/>
                      <w:lang w:val="en-US"/>
                    </w:rPr>
                  </w:pPr>
                  <w:r w:rsidRPr="002E4D67">
                    <w:rPr>
                      <w:rStyle w:val="Fett"/>
                      <w:rFonts w:cstheme="minorHAnsi"/>
                      <w:lang w:val="en-US"/>
                    </w:rPr>
                    <w:t># Tokens</w:t>
                  </w:r>
                </w:p>
              </w:tc>
              <w:tc>
                <w:tcPr>
                  <w:tcW w:w="604" w:type="dxa"/>
                  <w:vAlign w:val="center"/>
                  <w:hideMark/>
                </w:tcPr>
                <w:p w14:paraId="60030906" w14:textId="77777777" w:rsidR="00E03612" w:rsidRPr="002E4D67" w:rsidRDefault="00E03612" w:rsidP="00E03612">
                  <w:pPr>
                    <w:pStyle w:val="Textkrper"/>
                    <w:rPr>
                      <w:rFonts w:cstheme="minorHAnsi"/>
                      <w:lang w:val="en-US"/>
                    </w:rPr>
                  </w:pPr>
                  <w:r w:rsidRPr="002E4D67">
                    <w:rPr>
                      <w:rStyle w:val="Fett"/>
                      <w:rFonts w:cstheme="minorHAnsi"/>
                      <w:lang w:val="en-US"/>
                    </w:rPr>
                    <w:t>% of Total Supply</w:t>
                  </w:r>
                </w:p>
              </w:tc>
              <w:tc>
                <w:tcPr>
                  <w:tcW w:w="868" w:type="dxa"/>
                  <w:vAlign w:val="center"/>
                  <w:hideMark/>
                </w:tcPr>
                <w:p w14:paraId="6F7E0910" w14:textId="77777777" w:rsidR="00E03612" w:rsidRPr="002E4D67" w:rsidRDefault="00E03612" w:rsidP="00E03612">
                  <w:pPr>
                    <w:pStyle w:val="Textkrper"/>
                    <w:rPr>
                      <w:rFonts w:cstheme="minorHAnsi"/>
                      <w:lang w:val="en-US"/>
                    </w:rPr>
                  </w:pPr>
                  <w:r w:rsidRPr="002E4D67">
                    <w:rPr>
                      <w:rStyle w:val="Fett"/>
                      <w:rFonts w:cstheme="minorHAnsi"/>
                      <w:lang w:val="en-US"/>
                    </w:rPr>
                    <w:t>Price (USD)</w:t>
                  </w:r>
                </w:p>
              </w:tc>
              <w:tc>
                <w:tcPr>
                  <w:tcW w:w="1099" w:type="dxa"/>
                  <w:tcBorders>
                    <w:right w:val="double" w:sz="4" w:space="0" w:color="auto"/>
                  </w:tcBorders>
                  <w:vAlign w:val="center"/>
                  <w:hideMark/>
                </w:tcPr>
                <w:p w14:paraId="512E9B81" w14:textId="77777777" w:rsidR="00E03612" w:rsidRPr="002E4D67" w:rsidRDefault="00E03612" w:rsidP="00E03612">
                  <w:pPr>
                    <w:pStyle w:val="Textkrper"/>
                    <w:rPr>
                      <w:rFonts w:cstheme="minorHAnsi"/>
                      <w:lang w:val="en-US"/>
                    </w:rPr>
                  </w:pPr>
                  <w:r w:rsidRPr="002E4D67">
                    <w:rPr>
                      <w:rStyle w:val="Fett"/>
                      <w:rFonts w:cstheme="minorHAnsi"/>
                      <w:lang w:val="en-US"/>
                    </w:rPr>
                    <w:t>Description</w:t>
                  </w:r>
                </w:p>
              </w:tc>
            </w:tr>
            <w:tr w:rsidR="00CA2AB0" w:rsidRPr="002E4D67" w14:paraId="0A9D1B69" w14:textId="77777777" w:rsidTr="00CA2AB0">
              <w:trPr>
                <w:tblCellSpacing w:w="15" w:type="dxa"/>
              </w:trPr>
              <w:tc>
                <w:tcPr>
                  <w:tcW w:w="832" w:type="dxa"/>
                  <w:vAlign w:val="center"/>
                  <w:hideMark/>
                </w:tcPr>
                <w:p w14:paraId="08C727A7" w14:textId="77777777" w:rsidR="00E03612" w:rsidRPr="002E4D67" w:rsidRDefault="00E03612" w:rsidP="00E03612">
                  <w:pPr>
                    <w:pStyle w:val="Textkrper"/>
                    <w:rPr>
                      <w:rFonts w:cstheme="minorHAnsi"/>
                      <w:lang w:val="en-US"/>
                    </w:rPr>
                  </w:pPr>
                  <w:r w:rsidRPr="002E4D67">
                    <w:rPr>
                      <w:rFonts w:cstheme="minorHAnsi"/>
                      <w:lang w:val="en-US"/>
                    </w:rPr>
                    <w:t>Pre-Seed</w:t>
                  </w:r>
                </w:p>
              </w:tc>
              <w:tc>
                <w:tcPr>
                  <w:tcW w:w="679" w:type="dxa"/>
                  <w:vAlign w:val="center"/>
                  <w:hideMark/>
                </w:tcPr>
                <w:p w14:paraId="5B48D8B4" w14:textId="77777777" w:rsidR="00E03612" w:rsidRPr="002E4D67" w:rsidRDefault="00E03612" w:rsidP="00E03612">
                  <w:pPr>
                    <w:pStyle w:val="Textkrper"/>
                    <w:rPr>
                      <w:rFonts w:cstheme="minorHAnsi"/>
                      <w:lang w:val="en-US"/>
                    </w:rPr>
                  </w:pPr>
                  <w:r w:rsidRPr="002E4D67">
                    <w:rPr>
                      <w:rFonts w:cstheme="minorHAnsi"/>
                      <w:lang w:val="en-US"/>
                    </w:rPr>
                    <w:t>12</w:t>
                  </w:r>
                </w:p>
              </w:tc>
              <w:tc>
                <w:tcPr>
                  <w:tcW w:w="679" w:type="dxa"/>
                  <w:vAlign w:val="center"/>
                  <w:hideMark/>
                </w:tcPr>
                <w:p w14:paraId="14AE6396" w14:textId="77777777" w:rsidR="00E03612" w:rsidRPr="002E4D67" w:rsidRDefault="00E03612" w:rsidP="00E03612">
                  <w:pPr>
                    <w:pStyle w:val="Textkrper"/>
                    <w:rPr>
                      <w:rFonts w:cstheme="minorHAnsi"/>
                      <w:lang w:val="en-US"/>
                    </w:rPr>
                  </w:pPr>
                  <w:r w:rsidRPr="002E4D67">
                    <w:rPr>
                      <w:rFonts w:cstheme="minorHAnsi"/>
                      <w:lang w:val="en-US"/>
                    </w:rPr>
                    <w:t>18</w:t>
                  </w:r>
                </w:p>
              </w:tc>
              <w:tc>
                <w:tcPr>
                  <w:tcW w:w="990" w:type="dxa"/>
                  <w:vAlign w:val="center"/>
                  <w:hideMark/>
                </w:tcPr>
                <w:p w14:paraId="012F1E14" w14:textId="77777777" w:rsidR="00E03612" w:rsidRPr="002E4D67" w:rsidRDefault="00E03612" w:rsidP="00E03612">
                  <w:pPr>
                    <w:pStyle w:val="Textkrper"/>
                    <w:rPr>
                      <w:rFonts w:cstheme="minorHAnsi"/>
                      <w:lang w:val="en-US"/>
                    </w:rPr>
                  </w:pPr>
                  <w:r w:rsidRPr="002E4D67">
                    <w:rPr>
                      <w:rFonts w:cstheme="minorHAnsi"/>
                      <w:lang w:val="en-US"/>
                    </w:rPr>
                    <w:t>1,500,000</w:t>
                  </w:r>
                </w:p>
              </w:tc>
              <w:tc>
                <w:tcPr>
                  <w:tcW w:w="604" w:type="dxa"/>
                  <w:vAlign w:val="center"/>
                  <w:hideMark/>
                </w:tcPr>
                <w:p w14:paraId="07A19BAB" w14:textId="77777777" w:rsidR="00E03612" w:rsidRPr="002E4D67" w:rsidRDefault="00E03612" w:rsidP="00E03612">
                  <w:pPr>
                    <w:pStyle w:val="Textkrper"/>
                    <w:rPr>
                      <w:rFonts w:cstheme="minorHAnsi"/>
                      <w:lang w:val="en-US"/>
                    </w:rPr>
                  </w:pPr>
                  <w:r w:rsidRPr="002E4D67">
                    <w:rPr>
                      <w:rFonts w:cstheme="minorHAnsi"/>
                      <w:lang w:val="en-US"/>
                    </w:rPr>
                    <w:t>1.5 %</w:t>
                  </w:r>
                </w:p>
              </w:tc>
              <w:tc>
                <w:tcPr>
                  <w:tcW w:w="868" w:type="dxa"/>
                  <w:vAlign w:val="center"/>
                  <w:hideMark/>
                </w:tcPr>
                <w:p w14:paraId="5DDD9DA7" w14:textId="5BC7192A" w:rsidR="00E03612" w:rsidRPr="002E4D67" w:rsidRDefault="00CA2AB0" w:rsidP="00E03612">
                  <w:pPr>
                    <w:pStyle w:val="Textkrper"/>
                    <w:rPr>
                      <w:rFonts w:cstheme="minorHAnsi"/>
                      <w:lang w:val="en-US"/>
                    </w:rPr>
                  </w:pPr>
                  <w:r>
                    <w:rPr>
                      <w:rFonts w:cstheme="minorHAnsi"/>
                      <w:lang w:val="en-US"/>
                    </w:rPr>
                    <w:t xml:space="preserve">$ </w:t>
                  </w:r>
                  <w:r w:rsidR="00E03612" w:rsidRPr="002E4D67">
                    <w:rPr>
                      <w:rFonts w:cstheme="minorHAnsi"/>
                      <w:lang w:val="en-US"/>
                    </w:rPr>
                    <w:t>0.35</w:t>
                  </w:r>
                </w:p>
              </w:tc>
              <w:tc>
                <w:tcPr>
                  <w:tcW w:w="1099" w:type="dxa"/>
                  <w:tcBorders>
                    <w:right w:val="double" w:sz="4" w:space="0" w:color="auto"/>
                  </w:tcBorders>
                  <w:vAlign w:val="center"/>
                  <w:hideMark/>
                </w:tcPr>
                <w:p w14:paraId="19F5ED4B" w14:textId="77777777" w:rsidR="00E03612" w:rsidRPr="002E4D67" w:rsidRDefault="00E03612" w:rsidP="00E03612">
                  <w:pPr>
                    <w:pStyle w:val="Textkrper"/>
                    <w:rPr>
                      <w:rFonts w:cstheme="minorHAnsi"/>
                      <w:lang w:val="en-US"/>
                    </w:rPr>
                  </w:pPr>
                  <w:r w:rsidRPr="002E4D67">
                    <w:rPr>
                      <w:rFonts w:cstheme="minorHAnsi"/>
                      <w:lang w:val="en-US"/>
                    </w:rPr>
                    <w:t>Early strategic contributors and technical supporters</w:t>
                  </w:r>
                </w:p>
              </w:tc>
            </w:tr>
            <w:tr w:rsidR="00CA2AB0" w:rsidRPr="002E4D67" w14:paraId="5DFAEE79" w14:textId="77777777" w:rsidTr="00CA2AB0">
              <w:trPr>
                <w:tblCellSpacing w:w="15" w:type="dxa"/>
              </w:trPr>
              <w:tc>
                <w:tcPr>
                  <w:tcW w:w="832" w:type="dxa"/>
                  <w:vAlign w:val="center"/>
                  <w:hideMark/>
                </w:tcPr>
                <w:p w14:paraId="4831315C" w14:textId="77777777" w:rsidR="00E03612" w:rsidRPr="002E4D67" w:rsidRDefault="00E03612" w:rsidP="00E03612">
                  <w:pPr>
                    <w:pStyle w:val="Textkrper"/>
                    <w:rPr>
                      <w:rFonts w:cstheme="minorHAnsi"/>
                      <w:lang w:val="en-US"/>
                    </w:rPr>
                  </w:pPr>
                  <w:r w:rsidRPr="002E4D67">
                    <w:rPr>
                      <w:rFonts w:cstheme="minorHAnsi"/>
                      <w:lang w:val="en-US"/>
                    </w:rPr>
                    <w:t>Seed</w:t>
                  </w:r>
                </w:p>
              </w:tc>
              <w:tc>
                <w:tcPr>
                  <w:tcW w:w="679" w:type="dxa"/>
                  <w:vAlign w:val="center"/>
                  <w:hideMark/>
                </w:tcPr>
                <w:p w14:paraId="223F6254" w14:textId="77777777" w:rsidR="00E03612" w:rsidRPr="002E4D67" w:rsidRDefault="00E03612" w:rsidP="00E03612">
                  <w:pPr>
                    <w:pStyle w:val="Textkrper"/>
                    <w:rPr>
                      <w:rFonts w:cstheme="minorHAnsi"/>
                      <w:lang w:val="en-US"/>
                    </w:rPr>
                  </w:pPr>
                  <w:r w:rsidRPr="002E4D67">
                    <w:rPr>
                      <w:rFonts w:cstheme="minorHAnsi"/>
                      <w:lang w:val="en-US"/>
                    </w:rPr>
                    <w:t>12</w:t>
                  </w:r>
                </w:p>
              </w:tc>
              <w:tc>
                <w:tcPr>
                  <w:tcW w:w="679" w:type="dxa"/>
                  <w:vAlign w:val="center"/>
                  <w:hideMark/>
                </w:tcPr>
                <w:p w14:paraId="74ABE410" w14:textId="77777777" w:rsidR="00E03612" w:rsidRPr="002E4D67" w:rsidRDefault="00E03612" w:rsidP="00E03612">
                  <w:pPr>
                    <w:pStyle w:val="Textkrper"/>
                    <w:rPr>
                      <w:rFonts w:cstheme="minorHAnsi"/>
                      <w:lang w:val="en-US"/>
                    </w:rPr>
                  </w:pPr>
                  <w:r w:rsidRPr="002E4D67">
                    <w:rPr>
                      <w:rFonts w:cstheme="minorHAnsi"/>
                      <w:lang w:val="en-US"/>
                    </w:rPr>
                    <w:t>18</w:t>
                  </w:r>
                </w:p>
              </w:tc>
              <w:tc>
                <w:tcPr>
                  <w:tcW w:w="990" w:type="dxa"/>
                  <w:vAlign w:val="center"/>
                  <w:hideMark/>
                </w:tcPr>
                <w:p w14:paraId="015938D2" w14:textId="77777777" w:rsidR="00E03612" w:rsidRPr="002E4D67" w:rsidRDefault="00E03612" w:rsidP="00E03612">
                  <w:pPr>
                    <w:pStyle w:val="Textkrper"/>
                    <w:rPr>
                      <w:rFonts w:cstheme="minorHAnsi"/>
                      <w:lang w:val="en-US"/>
                    </w:rPr>
                  </w:pPr>
                  <w:r w:rsidRPr="002E4D67">
                    <w:rPr>
                      <w:rFonts w:cstheme="minorHAnsi"/>
                      <w:lang w:val="en-US"/>
                    </w:rPr>
                    <w:t>3,000,000</w:t>
                  </w:r>
                </w:p>
              </w:tc>
              <w:tc>
                <w:tcPr>
                  <w:tcW w:w="604" w:type="dxa"/>
                  <w:vAlign w:val="center"/>
                  <w:hideMark/>
                </w:tcPr>
                <w:p w14:paraId="56E57F45" w14:textId="77777777" w:rsidR="00E03612" w:rsidRPr="002E4D67" w:rsidRDefault="00E03612" w:rsidP="00E03612">
                  <w:pPr>
                    <w:pStyle w:val="Textkrper"/>
                    <w:rPr>
                      <w:rFonts w:cstheme="minorHAnsi"/>
                      <w:lang w:val="en-US"/>
                    </w:rPr>
                  </w:pPr>
                  <w:r w:rsidRPr="002E4D67">
                    <w:rPr>
                      <w:rFonts w:cstheme="minorHAnsi"/>
                      <w:lang w:val="en-US"/>
                    </w:rPr>
                    <w:t>3.0 %</w:t>
                  </w:r>
                </w:p>
              </w:tc>
              <w:tc>
                <w:tcPr>
                  <w:tcW w:w="868" w:type="dxa"/>
                  <w:vAlign w:val="center"/>
                  <w:hideMark/>
                </w:tcPr>
                <w:p w14:paraId="3D504FA3" w14:textId="0041551B" w:rsidR="00E03612" w:rsidRPr="002E4D67" w:rsidRDefault="00CA2AB0" w:rsidP="00E03612">
                  <w:pPr>
                    <w:pStyle w:val="Textkrper"/>
                    <w:rPr>
                      <w:rFonts w:cstheme="minorHAnsi"/>
                      <w:lang w:val="en-US"/>
                    </w:rPr>
                  </w:pPr>
                  <w:r>
                    <w:rPr>
                      <w:rFonts w:cstheme="minorHAnsi"/>
                      <w:lang w:val="en-US"/>
                    </w:rPr>
                    <w:t xml:space="preserve">$ </w:t>
                  </w:r>
                  <w:r w:rsidR="00E03612" w:rsidRPr="002E4D67">
                    <w:rPr>
                      <w:rFonts w:cstheme="minorHAnsi"/>
                      <w:lang w:val="en-US"/>
                    </w:rPr>
                    <w:t>0.455</w:t>
                  </w:r>
                </w:p>
              </w:tc>
              <w:tc>
                <w:tcPr>
                  <w:tcW w:w="1099" w:type="dxa"/>
                  <w:tcBorders>
                    <w:right w:val="double" w:sz="4" w:space="0" w:color="auto"/>
                  </w:tcBorders>
                  <w:vAlign w:val="center"/>
                  <w:hideMark/>
                </w:tcPr>
                <w:p w14:paraId="4D0BEFCA" w14:textId="77777777" w:rsidR="00E03612" w:rsidRPr="002E4D67" w:rsidRDefault="00E03612" w:rsidP="00E03612">
                  <w:pPr>
                    <w:pStyle w:val="Textkrper"/>
                    <w:rPr>
                      <w:rFonts w:cstheme="minorHAnsi"/>
                      <w:lang w:val="en-US"/>
                    </w:rPr>
                  </w:pPr>
                  <w:r w:rsidRPr="002E4D67">
                    <w:rPr>
                      <w:rFonts w:cstheme="minorHAnsi"/>
                      <w:lang w:val="en-US"/>
                    </w:rPr>
                    <w:t>Early investors and key partners</w:t>
                  </w:r>
                </w:p>
              </w:tc>
            </w:tr>
            <w:tr w:rsidR="00CA2AB0" w:rsidRPr="002E4D67" w14:paraId="684F935C" w14:textId="77777777" w:rsidTr="00CA2AB0">
              <w:trPr>
                <w:tblCellSpacing w:w="15" w:type="dxa"/>
              </w:trPr>
              <w:tc>
                <w:tcPr>
                  <w:tcW w:w="832" w:type="dxa"/>
                  <w:vAlign w:val="center"/>
                  <w:hideMark/>
                </w:tcPr>
                <w:p w14:paraId="7E9B8CD7" w14:textId="77777777" w:rsidR="00E03612" w:rsidRPr="002E4D67" w:rsidRDefault="00E03612" w:rsidP="00E03612">
                  <w:pPr>
                    <w:pStyle w:val="Textkrper"/>
                    <w:rPr>
                      <w:rFonts w:cstheme="minorHAnsi"/>
                      <w:lang w:val="en-US"/>
                    </w:rPr>
                  </w:pPr>
                  <w:r w:rsidRPr="002E4D67">
                    <w:rPr>
                      <w:rFonts w:cstheme="minorHAnsi"/>
                      <w:lang w:val="en-US"/>
                    </w:rPr>
                    <w:t>Strategic</w:t>
                  </w:r>
                </w:p>
              </w:tc>
              <w:tc>
                <w:tcPr>
                  <w:tcW w:w="679" w:type="dxa"/>
                  <w:vAlign w:val="center"/>
                  <w:hideMark/>
                </w:tcPr>
                <w:p w14:paraId="30772219" w14:textId="77777777" w:rsidR="00E03612" w:rsidRPr="002E4D67" w:rsidRDefault="00E03612" w:rsidP="00E03612">
                  <w:pPr>
                    <w:pStyle w:val="Textkrper"/>
                    <w:rPr>
                      <w:rFonts w:cstheme="minorHAnsi"/>
                      <w:lang w:val="en-US"/>
                    </w:rPr>
                  </w:pPr>
                  <w:r w:rsidRPr="002E4D67">
                    <w:rPr>
                      <w:rFonts w:cstheme="minorHAnsi"/>
                      <w:lang w:val="en-US"/>
                    </w:rPr>
                    <w:t>9</w:t>
                  </w:r>
                </w:p>
              </w:tc>
              <w:tc>
                <w:tcPr>
                  <w:tcW w:w="679" w:type="dxa"/>
                  <w:vAlign w:val="center"/>
                  <w:hideMark/>
                </w:tcPr>
                <w:p w14:paraId="6563D4A6" w14:textId="77777777" w:rsidR="00E03612" w:rsidRPr="002E4D67" w:rsidRDefault="00E03612" w:rsidP="00E03612">
                  <w:pPr>
                    <w:pStyle w:val="Textkrper"/>
                    <w:rPr>
                      <w:rFonts w:cstheme="minorHAnsi"/>
                      <w:lang w:val="en-US"/>
                    </w:rPr>
                  </w:pPr>
                  <w:r w:rsidRPr="002E4D67">
                    <w:rPr>
                      <w:rFonts w:cstheme="minorHAnsi"/>
                      <w:lang w:val="en-US"/>
                    </w:rPr>
                    <w:t>12</w:t>
                  </w:r>
                </w:p>
              </w:tc>
              <w:tc>
                <w:tcPr>
                  <w:tcW w:w="990" w:type="dxa"/>
                  <w:vAlign w:val="center"/>
                  <w:hideMark/>
                </w:tcPr>
                <w:p w14:paraId="41E1CDA7" w14:textId="77777777" w:rsidR="00E03612" w:rsidRPr="002E4D67" w:rsidRDefault="00E03612" w:rsidP="00E03612">
                  <w:pPr>
                    <w:pStyle w:val="Textkrper"/>
                    <w:rPr>
                      <w:rFonts w:cstheme="minorHAnsi"/>
                      <w:lang w:val="en-US"/>
                    </w:rPr>
                  </w:pPr>
                  <w:r w:rsidRPr="002E4D67">
                    <w:rPr>
                      <w:rFonts w:cstheme="minorHAnsi"/>
                      <w:lang w:val="en-US"/>
                    </w:rPr>
                    <w:t>4,000,000</w:t>
                  </w:r>
                </w:p>
              </w:tc>
              <w:tc>
                <w:tcPr>
                  <w:tcW w:w="604" w:type="dxa"/>
                  <w:vAlign w:val="center"/>
                  <w:hideMark/>
                </w:tcPr>
                <w:p w14:paraId="0E9B6859" w14:textId="77777777" w:rsidR="00E03612" w:rsidRPr="002E4D67" w:rsidRDefault="00E03612" w:rsidP="00E03612">
                  <w:pPr>
                    <w:pStyle w:val="Textkrper"/>
                    <w:rPr>
                      <w:rFonts w:cstheme="minorHAnsi"/>
                      <w:lang w:val="en-US"/>
                    </w:rPr>
                  </w:pPr>
                  <w:r w:rsidRPr="002E4D67">
                    <w:rPr>
                      <w:rFonts w:cstheme="minorHAnsi"/>
                      <w:lang w:val="en-US"/>
                    </w:rPr>
                    <w:t>4.0 %</w:t>
                  </w:r>
                </w:p>
              </w:tc>
              <w:tc>
                <w:tcPr>
                  <w:tcW w:w="868" w:type="dxa"/>
                  <w:vAlign w:val="center"/>
                  <w:hideMark/>
                </w:tcPr>
                <w:p w14:paraId="7AFEC84A" w14:textId="46F88C0A" w:rsidR="00E03612" w:rsidRPr="002E4D67" w:rsidRDefault="00CA2AB0" w:rsidP="00E03612">
                  <w:pPr>
                    <w:pStyle w:val="Textkrper"/>
                    <w:rPr>
                      <w:rFonts w:cstheme="minorHAnsi"/>
                      <w:lang w:val="en-US"/>
                    </w:rPr>
                  </w:pPr>
                  <w:r>
                    <w:rPr>
                      <w:rFonts w:cstheme="minorHAnsi"/>
                      <w:lang w:val="en-US"/>
                    </w:rPr>
                    <w:t xml:space="preserve">$ </w:t>
                  </w:r>
                  <w:r w:rsidR="00E03612" w:rsidRPr="002E4D67">
                    <w:rPr>
                      <w:rFonts w:cstheme="minorHAnsi"/>
                      <w:lang w:val="en-US"/>
                    </w:rPr>
                    <w:t>0.592</w:t>
                  </w:r>
                </w:p>
              </w:tc>
              <w:tc>
                <w:tcPr>
                  <w:tcW w:w="1099" w:type="dxa"/>
                  <w:tcBorders>
                    <w:right w:val="double" w:sz="4" w:space="0" w:color="auto"/>
                  </w:tcBorders>
                  <w:vAlign w:val="center"/>
                  <w:hideMark/>
                </w:tcPr>
                <w:p w14:paraId="1B56B44C" w14:textId="77777777" w:rsidR="00E03612" w:rsidRPr="002E4D67" w:rsidRDefault="00E03612" w:rsidP="00E03612">
                  <w:pPr>
                    <w:pStyle w:val="Textkrper"/>
                    <w:rPr>
                      <w:rFonts w:cstheme="minorHAnsi"/>
                      <w:lang w:val="en-US"/>
                    </w:rPr>
                  </w:pPr>
                  <w:r w:rsidRPr="002E4D67">
                    <w:rPr>
                      <w:rFonts w:cstheme="minorHAnsi"/>
                      <w:lang w:val="en-US"/>
                    </w:rPr>
                    <w:t>Institutional and network investors</w:t>
                  </w:r>
                </w:p>
              </w:tc>
            </w:tr>
            <w:tr w:rsidR="00CA2AB0" w:rsidRPr="002E4D67" w14:paraId="621A93C1" w14:textId="77777777" w:rsidTr="00CA2AB0">
              <w:trPr>
                <w:tblCellSpacing w:w="15" w:type="dxa"/>
              </w:trPr>
              <w:tc>
                <w:tcPr>
                  <w:tcW w:w="832" w:type="dxa"/>
                  <w:vAlign w:val="center"/>
                  <w:hideMark/>
                </w:tcPr>
                <w:p w14:paraId="4FD522C3" w14:textId="77777777" w:rsidR="00E03612" w:rsidRPr="002E4D67" w:rsidRDefault="00E03612" w:rsidP="00E03612">
                  <w:pPr>
                    <w:pStyle w:val="Textkrper"/>
                    <w:rPr>
                      <w:rFonts w:cstheme="minorHAnsi"/>
                      <w:lang w:val="en-US"/>
                    </w:rPr>
                  </w:pPr>
                  <w:r w:rsidRPr="002E4D67">
                    <w:rPr>
                      <w:rFonts w:cstheme="minorHAnsi"/>
                      <w:lang w:val="en-US"/>
                    </w:rPr>
                    <w:t>Pre-Public Sale</w:t>
                  </w:r>
                </w:p>
              </w:tc>
              <w:tc>
                <w:tcPr>
                  <w:tcW w:w="679" w:type="dxa"/>
                  <w:vAlign w:val="center"/>
                  <w:hideMark/>
                </w:tcPr>
                <w:p w14:paraId="3EA373B9" w14:textId="77777777" w:rsidR="00E03612" w:rsidRPr="002E4D67" w:rsidRDefault="00E03612" w:rsidP="00E03612">
                  <w:pPr>
                    <w:pStyle w:val="Textkrper"/>
                    <w:rPr>
                      <w:rFonts w:cstheme="minorHAnsi"/>
                      <w:lang w:val="en-US"/>
                    </w:rPr>
                  </w:pPr>
                  <w:r w:rsidRPr="002E4D67">
                    <w:rPr>
                      <w:rFonts w:cstheme="minorHAnsi"/>
                      <w:lang w:val="en-US"/>
                    </w:rPr>
                    <w:t>9</w:t>
                  </w:r>
                </w:p>
              </w:tc>
              <w:tc>
                <w:tcPr>
                  <w:tcW w:w="679" w:type="dxa"/>
                  <w:vAlign w:val="center"/>
                  <w:hideMark/>
                </w:tcPr>
                <w:p w14:paraId="1F9B54BA" w14:textId="77777777" w:rsidR="00E03612" w:rsidRPr="002E4D67" w:rsidRDefault="00E03612" w:rsidP="00E03612">
                  <w:pPr>
                    <w:pStyle w:val="Textkrper"/>
                    <w:rPr>
                      <w:rFonts w:cstheme="minorHAnsi"/>
                      <w:lang w:val="en-US"/>
                    </w:rPr>
                  </w:pPr>
                  <w:r w:rsidRPr="002E4D67">
                    <w:rPr>
                      <w:rFonts w:cstheme="minorHAnsi"/>
                      <w:lang w:val="en-US"/>
                    </w:rPr>
                    <w:t>12</w:t>
                  </w:r>
                </w:p>
              </w:tc>
              <w:tc>
                <w:tcPr>
                  <w:tcW w:w="990" w:type="dxa"/>
                  <w:vAlign w:val="center"/>
                  <w:hideMark/>
                </w:tcPr>
                <w:p w14:paraId="250E3937" w14:textId="77777777" w:rsidR="00E03612" w:rsidRPr="002E4D67" w:rsidRDefault="00E03612" w:rsidP="00E03612">
                  <w:pPr>
                    <w:pStyle w:val="Textkrper"/>
                    <w:rPr>
                      <w:rFonts w:cstheme="minorHAnsi"/>
                      <w:lang w:val="en-US"/>
                    </w:rPr>
                  </w:pPr>
                  <w:r w:rsidRPr="002E4D67">
                    <w:rPr>
                      <w:rFonts w:cstheme="minorHAnsi"/>
                      <w:lang w:val="en-US"/>
                    </w:rPr>
                    <w:t>4,000,000</w:t>
                  </w:r>
                </w:p>
              </w:tc>
              <w:tc>
                <w:tcPr>
                  <w:tcW w:w="604" w:type="dxa"/>
                  <w:vAlign w:val="center"/>
                  <w:hideMark/>
                </w:tcPr>
                <w:p w14:paraId="2DB5BE0F" w14:textId="77777777" w:rsidR="00E03612" w:rsidRPr="002E4D67" w:rsidRDefault="00E03612" w:rsidP="00E03612">
                  <w:pPr>
                    <w:pStyle w:val="Textkrper"/>
                    <w:rPr>
                      <w:rFonts w:cstheme="minorHAnsi"/>
                      <w:lang w:val="en-US"/>
                    </w:rPr>
                  </w:pPr>
                  <w:r w:rsidRPr="002E4D67">
                    <w:rPr>
                      <w:rFonts w:cstheme="minorHAnsi"/>
                      <w:lang w:val="en-US"/>
                    </w:rPr>
                    <w:t>4.0 %</w:t>
                  </w:r>
                </w:p>
              </w:tc>
              <w:tc>
                <w:tcPr>
                  <w:tcW w:w="868" w:type="dxa"/>
                  <w:vAlign w:val="center"/>
                  <w:hideMark/>
                </w:tcPr>
                <w:p w14:paraId="30491F70" w14:textId="3CCDF779" w:rsidR="00E03612" w:rsidRPr="002E4D67" w:rsidRDefault="00CA2AB0" w:rsidP="00E03612">
                  <w:pPr>
                    <w:pStyle w:val="Textkrper"/>
                    <w:rPr>
                      <w:rFonts w:cstheme="minorHAnsi"/>
                      <w:lang w:val="en-US"/>
                    </w:rPr>
                  </w:pPr>
                  <w:r>
                    <w:rPr>
                      <w:rFonts w:cstheme="minorHAnsi"/>
                      <w:lang w:val="en-US"/>
                    </w:rPr>
                    <w:t xml:space="preserve">$ </w:t>
                  </w:r>
                  <w:r w:rsidR="00E03612" w:rsidRPr="002E4D67">
                    <w:rPr>
                      <w:rFonts w:cstheme="minorHAnsi"/>
                      <w:lang w:val="en-US"/>
                    </w:rPr>
                    <w:t>0.769</w:t>
                  </w:r>
                </w:p>
              </w:tc>
              <w:tc>
                <w:tcPr>
                  <w:tcW w:w="1099" w:type="dxa"/>
                  <w:tcBorders>
                    <w:right w:val="double" w:sz="4" w:space="0" w:color="auto"/>
                  </w:tcBorders>
                  <w:vAlign w:val="center"/>
                  <w:hideMark/>
                </w:tcPr>
                <w:p w14:paraId="0047EB4D" w14:textId="77777777" w:rsidR="00E03612" w:rsidRPr="002E4D67" w:rsidRDefault="00E03612" w:rsidP="00E03612">
                  <w:pPr>
                    <w:pStyle w:val="Textkrper"/>
                    <w:rPr>
                      <w:rFonts w:cstheme="minorHAnsi"/>
                      <w:lang w:val="en-US"/>
                    </w:rPr>
                  </w:pPr>
                  <w:r w:rsidRPr="002E4D67">
                    <w:rPr>
                      <w:rFonts w:cstheme="minorHAnsi"/>
                      <w:lang w:val="en-US"/>
                    </w:rPr>
                    <w:t>Community and pre-registered members</w:t>
                  </w:r>
                </w:p>
              </w:tc>
            </w:tr>
            <w:tr w:rsidR="00CA2AB0" w:rsidRPr="002E4D67" w14:paraId="1FBF5C1C" w14:textId="77777777" w:rsidTr="00CA2AB0">
              <w:trPr>
                <w:tblCellSpacing w:w="15" w:type="dxa"/>
              </w:trPr>
              <w:tc>
                <w:tcPr>
                  <w:tcW w:w="832" w:type="dxa"/>
                  <w:vAlign w:val="center"/>
                  <w:hideMark/>
                </w:tcPr>
                <w:p w14:paraId="30A34874" w14:textId="77777777" w:rsidR="00E03612" w:rsidRPr="002E4D67" w:rsidRDefault="00E03612" w:rsidP="00E03612">
                  <w:pPr>
                    <w:pStyle w:val="Textkrper"/>
                    <w:rPr>
                      <w:rFonts w:cstheme="minorHAnsi"/>
                      <w:lang w:val="en-US"/>
                    </w:rPr>
                  </w:pPr>
                  <w:r w:rsidRPr="002E4D67">
                    <w:rPr>
                      <w:rFonts w:cstheme="minorHAnsi"/>
                      <w:lang w:val="en-US"/>
                    </w:rPr>
                    <w:t>Public Sale</w:t>
                  </w:r>
                </w:p>
              </w:tc>
              <w:tc>
                <w:tcPr>
                  <w:tcW w:w="679" w:type="dxa"/>
                  <w:vAlign w:val="center"/>
                  <w:hideMark/>
                </w:tcPr>
                <w:p w14:paraId="031F5D3D" w14:textId="77777777" w:rsidR="00E03612" w:rsidRPr="002E4D67" w:rsidRDefault="00E03612" w:rsidP="00E03612">
                  <w:pPr>
                    <w:pStyle w:val="Textkrper"/>
                    <w:rPr>
                      <w:rFonts w:cstheme="minorHAnsi"/>
                      <w:lang w:val="en-US"/>
                    </w:rPr>
                  </w:pPr>
                  <w:r w:rsidRPr="002E4D67">
                    <w:rPr>
                      <w:rFonts w:cstheme="minorHAnsi"/>
                      <w:lang w:val="en-US"/>
                    </w:rPr>
                    <w:t>0</w:t>
                  </w:r>
                </w:p>
              </w:tc>
              <w:tc>
                <w:tcPr>
                  <w:tcW w:w="679" w:type="dxa"/>
                  <w:vAlign w:val="center"/>
                  <w:hideMark/>
                </w:tcPr>
                <w:p w14:paraId="6548B17E" w14:textId="77777777" w:rsidR="00E03612" w:rsidRPr="002E4D67" w:rsidRDefault="00E03612" w:rsidP="00E03612">
                  <w:pPr>
                    <w:pStyle w:val="Textkrper"/>
                    <w:rPr>
                      <w:rFonts w:cstheme="minorHAnsi"/>
                      <w:lang w:val="en-US"/>
                    </w:rPr>
                  </w:pPr>
                  <w:r w:rsidRPr="002E4D67">
                    <w:rPr>
                      <w:rFonts w:cstheme="minorHAnsi"/>
                      <w:lang w:val="en-US"/>
                    </w:rPr>
                    <w:t>4</w:t>
                  </w:r>
                </w:p>
              </w:tc>
              <w:tc>
                <w:tcPr>
                  <w:tcW w:w="990" w:type="dxa"/>
                  <w:vAlign w:val="center"/>
                  <w:hideMark/>
                </w:tcPr>
                <w:p w14:paraId="30CE21CB" w14:textId="77777777" w:rsidR="00E03612" w:rsidRPr="002E4D67" w:rsidRDefault="00E03612" w:rsidP="00E03612">
                  <w:pPr>
                    <w:pStyle w:val="Textkrper"/>
                    <w:rPr>
                      <w:rFonts w:cstheme="minorHAnsi"/>
                      <w:lang w:val="en-US"/>
                    </w:rPr>
                  </w:pPr>
                  <w:r w:rsidRPr="002E4D67">
                    <w:rPr>
                      <w:rFonts w:cstheme="minorHAnsi"/>
                      <w:lang w:val="en-US"/>
                    </w:rPr>
                    <w:t>3,500,000</w:t>
                  </w:r>
                </w:p>
              </w:tc>
              <w:tc>
                <w:tcPr>
                  <w:tcW w:w="604" w:type="dxa"/>
                  <w:vAlign w:val="center"/>
                  <w:hideMark/>
                </w:tcPr>
                <w:p w14:paraId="6EF32C41" w14:textId="77777777" w:rsidR="00E03612" w:rsidRPr="002E4D67" w:rsidRDefault="00E03612" w:rsidP="00E03612">
                  <w:pPr>
                    <w:pStyle w:val="Textkrper"/>
                    <w:rPr>
                      <w:rFonts w:cstheme="minorHAnsi"/>
                      <w:lang w:val="en-US"/>
                    </w:rPr>
                  </w:pPr>
                  <w:r w:rsidRPr="002E4D67">
                    <w:rPr>
                      <w:rFonts w:cstheme="minorHAnsi"/>
                      <w:lang w:val="en-US"/>
                    </w:rPr>
                    <w:t>3.5 %</w:t>
                  </w:r>
                </w:p>
              </w:tc>
              <w:tc>
                <w:tcPr>
                  <w:tcW w:w="868" w:type="dxa"/>
                  <w:vAlign w:val="center"/>
                  <w:hideMark/>
                </w:tcPr>
                <w:p w14:paraId="01F5ACB5" w14:textId="26C5EA81" w:rsidR="00E03612" w:rsidRPr="002E4D67" w:rsidRDefault="00CA2AB0" w:rsidP="00E03612">
                  <w:pPr>
                    <w:pStyle w:val="Textkrper"/>
                    <w:rPr>
                      <w:rFonts w:cstheme="minorHAnsi"/>
                      <w:lang w:val="en-US"/>
                    </w:rPr>
                  </w:pPr>
                  <w:r>
                    <w:rPr>
                      <w:rFonts w:cstheme="minorHAnsi"/>
                      <w:lang w:val="en-US"/>
                    </w:rPr>
                    <w:t xml:space="preserve">$ </w:t>
                  </w:r>
                  <w:r w:rsidR="00E03612" w:rsidRPr="002E4D67">
                    <w:rPr>
                      <w:rFonts w:cstheme="minorHAnsi"/>
                      <w:lang w:val="en-US"/>
                    </w:rPr>
                    <w:t>1.00</w:t>
                  </w:r>
                </w:p>
              </w:tc>
              <w:tc>
                <w:tcPr>
                  <w:tcW w:w="1099" w:type="dxa"/>
                  <w:tcBorders>
                    <w:right w:val="double" w:sz="4" w:space="0" w:color="auto"/>
                  </w:tcBorders>
                  <w:vAlign w:val="center"/>
                  <w:hideMark/>
                </w:tcPr>
                <w:p w14:paraId="48EF4F3B" w14:textId="77777777" w:rsidR="00E03612" w:rsidRPr="002E4D67" w:rsidRDefault="00E03612" w:rsidP="00E03612">
                  <w:pPr>
                    <w:pStyle w:val="Textkrper"/>
                    <w:rPr>
                      <w:rFonts w:cstheme="minorHAnsi"/>
                      <w:lang w:val="en-US"/>
                    </w:rPr>
                  </w:pPr>
                  <w:r w:rsidRPr="002E4D67">
                    <w:rPr>
                      <w:rFonts w:cstheme="minorHAnsi"/>
                      <w:lang w:val="en-US"/>
                    </w:rPr>
                    <w:t>General public via official WYND channels</w:t>
                  </w:r>
                </w:p>
              </w:tc>
            </w:tr>
          </w:tbl>
          <w:p w14:paraId="0B3D6834" w14:textId="77777777" w:rsidR="00E03612" w:rsidRPr="002E4D67" w:rsidRDefault="00E03612" w:rsidP="00E03612">
            <w:pPr>
              <w:pStyle w:val="Textkrper"/>
              <w:rPr>
                <w:rFonts w:cstheme="minorHAnsi"/>
                <w:lang w:val="en-US"/>
              </w:rPr>
            </w:pPr>
          </w:p>
          <w:p w14:paraId="4DD3580D" w14:textId="77777777" w:rsidR="00E03612" w:rsidRPr="002E4D67" w:rsidRDefault="00E03612" w:rsidP="00E03612">
            <w:pPr>
              <w:pStyle w:val="Textkrper"/>
              <w:rPr>
                <w:rFonts w:cstheme="minorHAnsi"/>
                <w:lang w:val="en-US"/>
              </w:rPr>
            </w:pPr>
            <w:r w:rsidRPr="002E4D67">
              <w:rPr>
                <w:rStyle w:val="Fett"/>
                <w:rFonts w:cstheme="minorHAnsi"/>
                <w:lang w:val="en-US"/>
              </w:rPr>
              <w:t>Total Funding Allocation:</w:t>
            </w:r>
            <w:r w:rsidRPr="002E4D67">
              <w:rPr>
                <w:rFonts w:cstheme="minorHAnsi"/>
                <w:lang w:val="en-US"/>
              </w:rPr>
              <w:t xml:space="preserve"> 16,000,000 tokens (16 % of total supply)</w:t>
            </w:r>
            <w:r w:rsidRPr="002E4D67">
              <w:rPr>
                <w:rFonts w:cstheme="minorHAnsi"/>
                <w:lang w:val="en-US"/>
              </w:rPr>
              <w:br/>
            </w:r>
            <w:r w:rsidRPr="002E4D67">
              <w:rPr>
                <w:rStyle w:val="Fett"/>
                <w:rFonts w:cstheme="minorHAnsi"/>
                <w:lang w:val="en-US"/>
              </w:rPr>
              <w:t>Total Fundraising Volume:</w:t>
            </w:r>
            <w:r w:rsidRPr="002E4D67">
              <w:rPr>
                <w:rFonts w:cstheme="minorHAnsi"/>
                <w:lang w:val="en-US"/>
              </w:rPr>
              <w:t xml:space="preserve"> ~ USD 11 million.</w:t>
            </w:r>
          </w:p>
          <w:p w14:paraId="3FE5B74D" w14:textId="77777777" w:rsidR="00E03612" w:rsidRPr="002E4D67" w:rsidRDefault="00E03612" w:rsidP="00E03612">
            <w:pPr>
              <w:pStyle w:val="Textkrper"/>
              <w:rPr>
                <w:rFonts w:cstheme="minorHAnsi"/>
                <w:lang w:val="en-US"/>
              </w:rPr>
            </w:pPr>
          </w:p>
          <w:p w14:paraId="24788242" w14:textId="77777777" w:rsidR="00E03612" w:rsidRPr="002E4D67" w:rsidRDefault="00E03612" w:rsidP="00E03612">
            <w:pPr>
              <w:pStyle w:val="Textkrper"/>
              <w:rPr>
                <w:rFonts w:cstheme="minorHAnsi"/>
                <w:lang w:val="en-US"/>
              </w:rPr>
            </w:pPr>
          </w:p>
        </w:tc>
      </w:tr>
      <w:tr w:rsidR="00E03612" w:rsidRPr="002E4D67" w14:paraId="2A6BDE3F" w14:textId="77777777" w:rsidTr="00D64090">
        <w:tc>
          <w:tcPr>
            <w:tcW w:w="1985" w:type="dxa"/>
          </w:tcPr>
          <w:p w14:paraId="56A5E174" w14:textId="7588CD30" w:rsidR="00E03612" w:rsidRPr="002E4D67" w:rsidRDefault="00E03612" w:rsidP="00E03612">
            <w:pPr>
              <w:pStyle w:val="berschrift1"/>
              <w:keepNext w:val="0"/>
              <w:keepLines w:val="0"/>
              <w:rPr>
                <w:lang w:val="en-US"/>
              </w:rPr>
            </w:pPr>
            <w:bookmarkStart w:id="213" w:name="_Toc212017893"/>
            <w:bookmarkStart w:id="214" w:name="_Toc213164172"/>
            <w:bookmarkStart w:id="215" w:name="_Toc213179155"/>
            <w:r w:rsidRPr="002E4D67">
              <w:rPr>
                <w:lang w:val="en-US"/>
              </w:rPr>
              <w:lastRenderedPageBreak/>
              <w:t>E.12 Total number of offered/traded crypto-assets</w:t>
            </w:r>
            <w:bookmarkEnd w:id="213"/>
            <w:bookmarkEnd w:id="214"/>
            <w:bookmarkEnd w:id="215"/>
          </w:p>
        </w:tc>
        <w:tc>
          <w:tcPr>
            <w:tcW w:w="6371" w:type="dxa"/>
          </w:tcPr>
          <w:p w14:paraId="34C6F95B" w14:textId="77777777" w:rsidR="00E03612" w:rsidRPr="002E4D67" w:rsidRDefault="00E03612" w:rsidP="00E03612">
            <w:pPr>
              <w:pStyle w:val="Textkrper"/>
              <w:rPr>
                <w:rFonts w:cstheme="minorHAnsi"/>
                <w:lang w:val="en-US"/>
              </w:rPr>
            </w:pPr>
            <w:r w:rsidRPr="002E4D67">
              <w:rPr>
                <w:rFonts w:cstheme="minorHAnsi"/>
                <w:lang w:val="en-US"/>
              </w:rPr>
              <w:t xml:space="preserve">The total fixed supply of </w:t>
            </w:r>
            <w:r w:rsidRPr="002E4D67">
              <w:rPr>
                <w:rStyle w:val="Fett"/>
                <w:rFonts w:cstheme="minorHAnsi"/>
                <w:lang w:val="en-US"/>
              </w:rPr>
              <w:t>$WYND Utility Tokens</w:t>
            </w:r>
            <w:r w:rsidRPr="002E4D67">
              <w:rPr>
                <w:rFonts w:cstheme="minorHAnsi"/>
                <w:lang w:val="en-US"/>
              </w:rPr>
              <w:t xml:space="preserve"> amounts to </w:t>
            </w:r>
            <w:r w:rsidRPr="002E4D67">
              <w:rPr>
                <w:rStyle w:val="Fett"/>
                <w:rFonts w:cstheme="minorHAnsi"/>
                <w:lang w:val="en-US"/>
              </w:rPr>
              <w:t>100,000,000 (one hundred million) tokens</w:t>
            </w:r>
            <w:r w:rsidRPr="002E4D67">
              <w:rPr>
                <w:rFonts w:cstheme="minorHAnsi"/>
                <w:lang w:val="en-US"/>
              </w:rPr>
              <w:t>.</w:t>
            </w:r>
            <w:r w:rsidRPr="002E4D67">
              <w:rPr>
                <w:rFonts w:cstheme="minorHAnsi"/>
                <w:lang w:val="en-US"/>
              </w:rPr>
              <w:br/>
              <w:t xml:space="preserve">No additional tokens will ever be created, and the smart contract does </w:t>
            </w:r>
            <w:r w:rsidRPr="002E4D67">
              <w:rPr>
                <w:rStyle w:val="Fett"/>
                <w:rFonts w:cstheme="minorHAnsi"/>
                <w:lang w:val="en-US"/>
              </w:rPr>
              <w:t>not allow further minting or reissuance</w:t>
            </w:r>
            <w:r w:rsidRPr="002E4D67">
              <w:rPr>
                <w:rFonts w:cstheme="minorHAnsi"/>
                <w:lang w:val="en-US"/>
              </w:rPr>
              <w:t>.</w:t>
            </w:r>
          </w:p>
          <w:p w14:paraId="5058E635" w14:textId="77777777" w:rsidR="00E03612" w:rsidRPr="002E4D67" w:rsidRDefault="00E03612" w:rsidP="00E03612">
            <w:pPr>
              <w:pStyle w:val="Textkrper"/>
              <w:rPr>
                <w:rFonts w:cstheme="minorHAnsi"/>
                <w:lang w:val="en-US"/>
              </w:rPr>
            </w:pPr>
            <w:r w:rsidRPr="002E4D67">
              <w:rPr>
                <w:rFonts w:cstheme="minorHAnsi"/>
                <w:lang w:val="en-US"/>
              </w:rPr>
              <w:t xml:space="preserve">Of this total supply, a maximum of </w:t>
            </w:r>
            <w:r w:rsidRPr="002E4D67">
              <w:rPr>
                <w:rStyle w:val="Fett"/>
                <w:rFonts w:cstheme="minorHAnsi"/>
                <w:lang w:val="en-US"/>
              </w:rPr>
              <w:t>16,000,000 tokens (16 %)</w:t>
            </w:r>
            <w:r w:rsidRPr="002E4D67">
              <w:rPr>
                <w:rFonts w:cstheme="minorHAnsi"/>
                <w:lang w:val="en-US"/>
              </w:rPr>
              <w:t xml:space="preserve"> are allocated to the public offering and its preceding funding rounds.</w:t>
            </w:r>
            <w:r w:rsidRPr="002E4D67">
              <w:rPr>
                <w:rFonts w:cstheme="minorHAnsi"/>
                <w:lang w:val="en-US"/>
              </w:rPr>
              <w:br/>
              <w:t xml:space="preserve">The public offering itself comprises </w:t>
            </w:r>
            <w:r w:rsidRPr="002E4D67">
              <w:rPr>
                <w:rStyle w:val="Fett"/>
                <w:rFonts w:cstheme="minorHAnsi"/>
                <w:lang w:val="en-US"/>
              </w:rPr>
              <w:t>3,500,000 tokens (3.5 % of total supply)</w:t>
            </w:r>
            <w:r w:rsidRPr="002E4D67">
              <w:rPr>
                <w:rFonts w:cstheme="minorHAnsi"/>
                <w:lang w:val="en-US"/>
              </w:rPr>
              <w:t xml:space="preserve"> at a fixed price of </w:t>
            </w:r>
            <w:r w:rsidRPr="002E4D67">
              <w:rPr>
                <w:rStyle w:val="Fett"/>
                <w:rFonts w:cstheme="minorHAnsi"/>
                <w:lang w:val="en-US"/>
              </w:rPr>
              <w:t>USD 1.00 per token</w:t>
            </w:r>
            <w:r w:rsidRPr="002E4D67">
              <w:rPr>
                <w:rFonts w:cstheme="minorHAnsi"/>
                <w:lang w:val="en-US"/>
              </w:rPr>
              <w:t>.</w:t>
            </w:r>
          </w:p>
          <w:p w14:paraId="7D846A66" w14:textId="77777777" w:rsidR="00E03612" w:rsidRPr="002E4D67" w:rsidRDefault="00E03612" w:rsidP="00E03612">
            <w:pPr>
              <w:pStyle w:val="Textkrper"/>
              <w:rPr>
                <w:rFonts w:cstheme="minorHAnsi"/>
                <w:lang w:val="en-US"/>
              </w:rPr>
            </w:pPr>
            <w:r w:rsidRPr="002E4D67">
              <w:rPr>
                <w:rFonts w:cstheme="minorHAnsi"/>
                <w:lang w:val="en-US"/>
              </w:rPr>
              <w:t>The allocation structure is as follows:</w:t>
            </w:r>
          </w:p>
          <w:p w14:paraId="5BF2C184" w14:textId="77777777" w:rsidR="00E03612" w:rsidRPr="002E4D67" w:rsidRDefault="00E03612" w:rsidP="00E03612">
            <w:pPr>
              <w:pStyle w:val="Textkrper"/>
              <w:rPr>
                <w:rFonts w:cstheme="minorHAnsi"/>
                <w:lang w:val="en-US"/>
              </w:rPr>
            </w:pPr>
            <w:r w:rsidRPr="002E4D67">
              <w:rPr>
                <w:rStyle w:val="Fett"/>
                <w:rFonts w:cstheme="minorHAnsi"/>
                <w:lang w:val="en-US"/>
              </w:rPr>
              <w:t>Public Offering:</w:t>
            </w:r>
            <w:r w:rsidRPr="002E4D67">
              <w:rPr>
                <w:rFonts w:cstheme="minorHAnsi"/>
                <w:lang w:val="en-US"/>
              </w:rPr>
              <w:t xml:space="preserve"> 3,500,000 tokens (3.5 %)</w:t>
            </w:r>
          </w:p>
          <w:p w14:paraId="0AF6C58A" w14:textId="77777777" w:rsidR="00E03612" w:rsidRPr="002E4D67" w:rsidRDefault="00E03612" w:rsidP="00E03612">
            <w:pPr>
              <w:pStyle w:val="Textkrper"/>
              <w:rPr>
                <w:rFonts w:cstheme="minorHAnsi"/>
                <w:lang w:val="en-US"/>
              </w:rPr>
            </w:pPr>
            <w:r w:rsidRPr="002E4D67">
              <w:rPr>
                <w:rStyle w:val="Fett"/>
                <w:rFonts w:cstheme="minorHAnsi"/>
                <w:lang w:val="en-US"/>
              </w:rPr>
              <w:t>Pre-Public / Strategic / Seed / Pre-Seed Rounds:</w:t>
            </w:r>
            <w:r w:rsidRPr="002E4D67">
              <w:rPr>
                <w:rFonts w:cstheme="minorHAnsi"/>
                <w:lang w:val="en-US"/>
              </w:rPr>
              <w:t xml:space="preserve"> 12,500,000 tokens (12.5 %)</w:t>
            </w:r>
          </w:p>
          <w:p w14:paraId="3804F7C8" w14:textId="77777777" w:rsidR="00E03612" w:rsidRPr="002E4D67" w:rsidRDefault="00E03612" w:rsidP="00E03612">
            <w:pPr>
              <w:pStyle w:val="Textkrper"/>
              <w:rPr>
                <w:rFonts w:cstheme="minorHAnsi"/>
                <w:lang w:val="en-US"/>
              </w:rPr>
            </w:pPr>
            <w:r w:rsidRPr="002E4D67">
              <w:rPr>
                <w:rStyle w:val="Fett"/>
                <w:rFonts w:cstheme="minorHAnsi"/>
                <w:lang w:val="en-US"/>
              </w:rPr>
              <w:t>Team:</w:t>
            </w:r>
            <w:r w:rsidRPr="002E4D67">
              <w:rPr>
                <w:rFonts w:cstheme="minorHAnsi"/>
                <w:lang w:val="en-US"/>
              </w:rPr>
              <w:t xml:space="preserve"> 15,000,000 tokens (15 %)</w:t>
            </w:r>
          </w:p>
          <w:p w14:paraId="31A2736C" w14:textId="77777777" w:rsidR="00E03612" w:rsidRPr="002E4D67" w:rsidRDefault="00E03612" w:rsidP="00E03612">
            <w:pPr>
              <w:pStyle w:val="Textkrper"/>
              <w:rPr>
                <w:rFonts w:cstheme="minorHAnsi"/>
                <w:lang w:val="en-US"/>
              </w:rPr>
            </w:pPr>
            <w:r w:rsidRPr="002E4D67">
              <w:rPr>
                <w:rStyle w:val="Fett"/>
                <w:rFonts w:cstheme="minorHAnsi"/>
                <w:lang w:val="en-US"/>
              </w:rPr>
              <w:t>Advisory:</w:t>
            </w:r>
            <w:r w:rsidRPr="002E4D67">
              <w:rPr>
                <w:rFonts w:cstheme="minorHAnsi"/>
                <w:lang w:val="en-US"/>
              </w:rPr>
              <w:t xml:space="preserve"> 3,000,000 tokens (3 %)</w:t>
            </w:r>
          </w:p>
          <w:p w14:paraId="4032BFD0" w14:textId="77777777" w:rsidR="00E03612" w:rsidRPr="002E4D67" w:rsidRDefault="00E03612" w:rsidP="00E03612">
            <w:pPr>
              <w:pStyle w:val="Textkrper"/>
              <w:rPr>
                <w:rFonts w:cstheme="minorHAnsi"/>
                <w:lang w:val="en-US"/>
              </w:rPr>
            </w:pPr>
            <w:r w:rsidRPr="002E4D67">
              <w:rPr>
                <w:rStyle w:val="Fett"/>
                <w:rFonts w:cstheme="minorHAnsi"/>
                <w:lang w:val="en-US"/>
              </w:rPr>
              <w:t>Liquidity Pool:</w:t>
            </w:r>
            <w:r w:rsidRPr="002E4D67">
              <w:rPr>
                <w:rFonts w:cstheme="minorHAnsi"/>
                <w:lang w:val="en-US"/>
              </w:rPr>
              <w:t xml:space="preserve"> 5,000,000 tokens (5 %)</w:t>
            </w:r>
          </w:p>
          <w:p w14:paraId="75F576A3" w14:textId="77777777" w:rsidR="00E03612" w:rsidRPr="002E4D67" w:rsidRDefault="00E03612" w:rsidP="00E03612">
            <w:pPr>
              <w:pStyle w:val="Textkrper"/>
              <w:rPr>
                <w:rFonts w:cstheme="minorHAnsi"/>
                <w:lang w:val="en-US"/>
              </w:rPr>
            </w:pPr>
            <w:r w:rsidRPr="002E4D67">
              <w:rPr>
                <w:rStyle w:val="Fett"/>
                <w:rFonts w:cstheme="minorHAnsi"/>
                <w:lang w:val="en-US"/>
              </w:rPr>
              <w:t>Staking &amp; Loyalty:</w:t>
            </w:r>
            <w:r w:rsidRPr="002E4D67">
              <w:rPr>
                <w:rFonts w:cstheme="minorHAnsi"/>
                <w:lang w:val="en-US"/>
              </w:rPr>
              <w:t xml:space="preserve"> 30,000,000 tokens (30 %)</w:t>
            </w:r>
          </w:p>
          <w:p w14:paraId="64D53084" w14:textId="77777777" w:rsidR="00E03612" w:rsidRPr="002E4D67" w:rsidRDefault="00E03612" w:rsidP="00E03612">
            <w:pPr>
              <w:pStyle w:val="Textkrper"/>
              <w:rPr>
                <w:rFonts w:cstheme="minorHAnsi"/>
                <w:lang w:val="en-US"/>
              </w:rPr>
            </w:pPr>
            <w:r w:rsidRPr="002E4D67">
              <w:rPr>
                <w:rStyle w:val="Fett"/>
                <w:rFonts w:cstheme="minorHAnsi"/>
                <w:lang w:val="en-US"/>
              </w:rPr>
              <w:t>Treasury &amp; Reserves:</w:t>
            </w:r>
            <w:r w:rsidRPr="002E4D67">
              <w:rPr>
                <w:rFonts w:cstheme="minorHAnsi"/>
                <w:lang w:val="en-US"/>
              </w:rPr>
              <w:t xml:space="preserve"> 16,000,000 tokens (16 %)</w:t>
            </w:r>
          </w:p>
          <w:p w14:paraId="61B327F8" w14:textId="77777777" w:rsidR="00E03612" w:rsidRPr="002E4D67" w:rsidRDefault="00E03612" w:rsidP="00E03612">
            <w:pPr>
              <w:pStyle w:val="Textkrper"/>
              <w:rPr>
                <w:rFonts w:cstheme="minorHAnsi"/>
                <w:lang w:val="en-US"/>
              </w:rPr>
            </w:pPr>
            <w:r w:rsidRPr="002E4D67">
              <w:rPr>
                <w:rStyle w:val="Fett"/>
                <w:rFonts w:cstheme="minorHAnsi"/>
                <w:lang w:val="en-US"/>
              </w:rPr>
              <w:t>Ecosystem Development:</w:t>
            </w:r>
            <w:r w:rsidRPr="002E4D67">
              <w:rPr>
                <w:rFonts w:cstheme="minorHAnsi"/>
                <w:lang w:val="en-US"/>
              </w:rPr>
              <w:t xml:space="preserve"> 15,000,000 tokens (15 %)</w:t>
            </w:r>
          </w:p>
          <w:p w14:paraId="31114424" w14:textId="77777777" w:rsidR="00E03612" w:rsidRPr="002E4D67" w:rsidRDefault="00E03612" w:rsidP="00E03612">
            <w:pPr>
              <w:pStyle w:val="Textkrper"/>
              <w:rPr>
                <w:rFonts w:cstheme="minorHAnsi"/>
                <w:lang w:val="en-US"/>
              </w:rPr>
            </w:pPr>
            <w:r w:rsidRPr="002E4D67">
              <w:rPr>
                <w:rFonts w:cstheme="minorHAnsi"/>
                <w:lang w:val="en-US"/>
              </w:rPr>
              <w:t xml:space="preserve">All allocations are </w:t>
            </w:r>
            <w:r w:rsidRPr="002E4D67">
              <w:rPr>
                <w:rStyle w:val="Fett"/>
                <w:rFonts w:cstheme="minorHAnsi"/>
                <w:lang w:val="en-US"/>
              </w:rPr>
              <w:t>on-chain verifiable</w:t>
            </w:r>
            <w:r w:rsidRPr="002E4D67">
              <w:rPr>
                <w:rFonts w:cstheme="minorHAnsi"/>
                <w:lang w:val="en-US"/>
              </w:rPr>
              <w:t xml:space="preserve">, and vesting schedules are enforced via </w:t>
            </w:r>
            <w:r w:rsidRPr="002E4D67">
              <w:rPr>
                <w:rStyle w:val="Fett"/>
                <w:rFonts w:cstheme="minorHAnsi"/>
                <w:lang w:val="en-US"/>
              </w:rPr>
              <w:t>smart contract-based lock-up mechanisms</w:t>
            </w:r>
            <w:r w:rsidRPr="002E4D67">
              <w:rPr>
                <w:rFonts w:cstheme="minorHAnsi"/>
                <w:lang w:val="en-US"/>
              </w:rPr>
              <w:t xml:space="preserve">, ranging from </w:t>
            </w:r>
            <w:r w:rsidRPr="002E4D67">
              <w:rPr>
                <w:rStyle w:val="Fett"/>
                <w:rFonts w:cstheme="minorHAnsi"/>
                <w:lang w:val="en-US"/>
              </w:rPr>
              <w:t>4 to 48 months</w:t>
            </w:r>
            <w:r w:rsidRPr="002E4D67">
              <w:rPr>
                <w:rFonts w:cstheme="minorHAnsi"/>
                <w:lang w:val="en-US"/>
              </w:rPr>
              <w:t>, depending on allocation type.</w:t>
            </w:r>
          </w:p>
          <w:p w14:paraId="7E6FD3E5" w14:textId="77777777" w:rsidR="00E03612" w:rsidRPr="002E4D67" w:rsidRDefault="00E03612" w:rsidP="00E03612">
            <w:pPr>
              <w:pStyle w:val="Textkrper"/>
              <w:rPr>
                <w:rFonts w:cstheme="minorHAnsi"/>
                <w:lang w:val="en-US"/>
              </w:rPr>
            </w:pPr>
            <w:r w:rsidRPr="002E4D67">
              <w:rPr>
                <w:rFonts w:cstheme="minorHAnsi"/>
                <w:lang w:val="en-US"/>
              </w:rPr>
              <w:t xml:space="preserve">Tokens that are not sold during the Public Offering will either be </w:t>
            </w:r>
            <w:r w:rsidRPr="002E4D67">
              <w:rPr>
                <w:rStyle w:val="Fett"/>
                <w:rFonts w:cstheme="minorHAnsi"/>
                <w:lang w:val="en-US"/>
              </w:rPr>
              <w:t>burned</w:t>
            </w:r>
            <w:r w:rsidRPr="002E4D67">
              <w:rPr>
                <w:rFonts w:cstheme="minorHAnsi"/>
                <w:lang w:val="en-US"/>
              </w:rPr>
              <w:t xml:space="preserve"> or </w:t>
            </w:r>
            <w:r w:rsidRPr="002E4D67">
              <w:rPr>
                <w:rStyle w:val="Fett"/>
                <w:rFonts w:cstheme="minorHAnsi"/>
                <w:lang w:val="en-US"/>
              </w:rPr>
              <w:t>transferred to the Treasury Reserve</w:t>
            </w:r>
            <w:r w:rsidRPr="002E4D67">
              <w:rPr>
                <w:rFonts w:cstheme="minorHAnsi"/>
                <w:lang w:val="en-US"/>
              </w:rPr>
              <w:t xml:space="preserve"> for future ecosystem purposes; no new issuance will take place.</w:t>
            </w:r>
          </w:p>
          <w:p w14:paraId="408787A7" w14:textId="103EDD34" w:rsidR="00E03612" w:rsidRPr="002E4D67" w:rsidRDefault="001070E8" w:rsidP="00E03612">
            <w:pPr>
              <w:pStyle w:val="Textkrper"/>
              <w:rPr>
                <w:rFonts w:cstheme="minorHAnsi"/>
                <w:lang w:val="en-US"/>
              </w:rPr>
            </w:pPr>
            <w:r>
              <w:t>During the public offer, the $WYND token will not be admitted to trading on any trading platform. Listing on third-party trading platforms may take place after completion of the offer.”</w:t>
            </w:r>
            <w:r w:rsidRPr="002E4D67">
              <w:rPr>
                <w:rFonts w:cstheme="minorHAnsi"/>
                <w:lang w:val="en-US"/>
              </w:rPr>
              <w:t xml:space="preserve"> </w:t>
            </w:r>
          </w:p>
        </w:tc>
      </w:tr>
      <w:tr w:rsidR="00E03612" w:rsidRPr="002E4D67" w14:paraId="58E7CCAD" w14:textId="77777777" w:rsidTr="00D64090">
        <w:tc>
          <w:tcPr>
            <w:tcW w:w="1985" w:type="dxa"/>
          </w:tcPr>
          <w:p w14:paraId="52BE394C" w14:textId="70AD633C" w:rsidR="00E03612" w:rsidRPr="002E4D67" w:rsidRDefault="00E03612" w:rsidP="00E03612">
            <w:pPr>
              <w:pStyle w:val="berschrift1"/>
              <w:keepNext w:val="0"/>
              <w:keepLines w:val="0"/>
              <w:rPr>
                <w:lang w:val="en-US"/>
              </w:rPr>
            </w:pPr>
            <w:bookmarkStart w:id="216" w:name="_Toc212017895"/>
            <w:bookmarkStart w:id="217" w:name="_Toc213164173"/>
            <w:bookmarkStart w:id="218" w:name="_Toc213179156"/>
            <w:r w:rsidRPr="002E4D67">
              <w:rPr>
                <w:lang w:val="en-US"/>
              </w:rPr>
              <w:lastRenderedPageBreak/>
              <w:t>E.13 Targeted holders</w:t>
            </w:r>
            <w:bookmarkEnd w:id="216"/>
            <w:bookmarkEnd w:id="217"/>
            <w:bookmarkEnd w:id="218"/>
          </w:p>
        </w:tc>
        <w:tc>
          <w:tcPr>
            <w:tcW w:w="6371" w:type="dxa"/>
          </w:tcPr>
          <w:p w14:paraId="69E031EA" w14:textId="639CAFFE" w:rsidR="00E03612" w:rsidRPr="002E4D67" w:rsidRDefault="00E03612" w:rsidP="00E03612">
            <w:pPr>
              <w:pStyle w:val="Textkrper"/>
              <w:rPr>
                <w:rFonts w:cstheme="minorHAnsi"/>
                <w:lang w:val="en-US"/>
              </w:rPr>
            </w:pPr>
            <w:r w:rsidRPr="002E4D67">
              <w:rPr>
                <w:rFonts w:cstheme="minorHAnsi"/>
                <w:lang w:val="en-US"/>
              </w:rPr>
              <w:t xml:space="preserve">ALL (all types of investors) </w:t>
            </w:r>
          </w:p>
        </w:tc>
      </w:tr>
      <w:tr w:rsidR="00E03612" w:rsidRPr="002E4D67" w14:paraId="3819F760" w14:textId="77777777" w:rsidTr="00D64090">
        <w:tc>
          <w:tcPr>
            <w:tcW w:w="1985" w:type="dxa"/>
          </w:tcPr>
          <w:p w14:paraId="5EDD18DB" w14:textId="48285EC6" w:rsidR="00E03612" w:rsidRPr="002E4D67" w:rsidRDefault="00E03612" w:rsidP="00E03612">
            <w:pPr>
              <w:pStyle w:val="berschrift1"/>
              <w:keepNext w:val="0"/>
              <w:keepLines w:val="0"/>
              <w:rPr>
                <w:lang w:val="en-US"/>
              </w:rPr>
            </w:pPr>
            <w:bookmarkStart w:id="219" w:name="_Toc212017897"/>
            <w:bookmarkStart w:id="220" w:name="_Toc213164174"/>
            <w:bookmarkStart w:id="221" w:name="_Toc213179157"/>
            <w:r w:rsidRPr="002E4D67">
              <w:rPr>
                <w:lang w:val="en-US"/>
              </w:rPr>
              <w:t>E.14 Holder restrictions</w:t>
            </w:r>
            <w:bookmarkEnd w:id="219"/>
            <w:bookmarkEnd w:id="220"/>
            <w:bookmarkEnd w:id="221"/>
          </w:p>
        </w:tc>
        <w:tc>
          <w:tcPr>
            <w:tcW w:w="6371" w:type="dxa"/>
          </w:tcPr>
          <w:p w14:paraId="046F2CE5" w14:textId="2332828A" w:rsidR="001070E8" w:rsidRPr="002E4D67" w:rsidRDefault="001070E8" w:rsidP="00E03612">
            <w:pPr>
              <w:pStyle w:val="Textkrper"/>
              <w:rPr>
                <w:rFonts w:cstheme="minorHAnsi"/>
                <w:lang w:val="en-US"/>
              </w:rPr>
            </w:pPr>
            <w:r>
              <w:rPr>
                <w:sz w:val="22"/>
                <w:szCs w:val="22"/>
              </w:rPr>
              <w:t>Persons residing in the United States of America, US nationals or organizations incorporated or based in the USA are excluded from purchasing $WYND as part of the public offering. Also excluded from participating in the public offer are persons residing in or organizations with a place of business in a country subject to applicable sanctions.</w:t>
            </w:r>
          </w:p>
        </w:tc>
      </w:tr>
      <w:tr w:rsidR="00E03612" w:rsidRPr="002E4D67" w14:paraId="20CB558D" w14:textId="77777777" w:rsidTr="00D64090">
        <w:tc>
          <w:tcPr>
            <w:tcW w:w="1985" w:type="dxa"/>
          </w:tcPr>
          <w:p w14:paraId="013707B3" w14:textId="16DBA469" w:rsidR="00E03612" w:rsidRPr="002E4D67" w:rsidRDefault="00E03612" w:rsidP="00E03612">
            <w:pPr>
              <w:pStyle w:val="berschrift1"/>
              <w:keepNext w:val="0"/>
              <w:keepLines w:val="0"/>
              <w:rPr>
                <w:lang w:val="en-US"/>
              </w:rPr>
            </w:pPr>
            <w:bookmarkStart w:id="222" w:name="_Toc212017899"/>
            <w:bookmarkStart w:id="223" w:name="_Toc213164175"/>
            <w:bookmarkStart w:id="224" w:name="_Toc213179158"/>
            <w:r w:rsidRPr="002E4D67">
              <w:rPr>
                <w:lang w:val="en-US"/>
              </w:rPr>
              <w:t>E.15 Reimbursement notice</w:t>
            </w:r>
            <w:bookmarkEnd w:id="222"/>
            <w:bookmarkEnd w:id="223"/>
            <w:bookmarkEnd w:id="224"/>
          </w:p>
        </w:tc>
        <w:tc>
          <w:tcPr>
            <w:tcW w:w="6371" w:type="dxa"/>
          </w:tcPr>
          <w:p w14:paraId="372EFDCC" w14:textId="77777777" w:rsidR="00E03612" w:rsidRPr="002E4D67" w:rsidRDefault="00E03612" w:rsidP="00E03612">
            <w:pPr>
              <w:pStyle w:val="Textkrper"/>
              <w:rPr>
                <w:rFonts w:cstheme="minorHAnsi"/>
                <w:lang w:val="en-US"/>
              </w:rPr>
            </w:pPr>
            <w:bookmarkStart w:id="225" w:name="_cp_change_650"/>
            <w:r w:rsidRPr="002E4D67">
              <w:rPr>
                <w:rFonts w:cstheme="minorHAnsi"/>
                <w:lang w:val="en-US"/>
              </w:rPr>
              <w:t xml:space="preserve">Purchasers participating in </w:t>
            </w:r>
            <w:bookmarkStart w:id="226" w:name="_cp_change_651"/>
            <w:bookmarkEnd w:id="225"/>
            <w:r w:rsidRPr="002E4D67">
              <w:rPr>
                <w:rFonts w:cstheme="minorHAnsi"/>
                <w:lang w:val="en-US"/>
              </w:rPr>
              <w:t xml:space="preserve"> the offer to the public </w:t>
            </w:r>
            <w:bookmarkStart w:id="227" w:name="_cp_change_653"/>
            <w:bookmarkEnd w:id="226"/>
            <w:r w:rsidRPr="002E4D67">
              <w:rPr>
                <w:rFonts w:cstheme="minorHAnsi"/>
                <w:lang w:val="en-US"/>
              </w:rPr>
              <w:t xml:space="preserve"> of crypto-asset will be able to be reimbursed if the minimum target subscription goal is not reached at the end of the offer to the public, if they exercise the right to withdrawal provided for in Article 13 of Regulation (EU) 2023/1114 of the European Parliament and of the Council or if the offer is cancelled.</w:t>
            </w:r>
            <w:bookmarkEnd w:id="227"/>
          </w:p>
        </w:tc>
      </w:tr>
      <w:tr w:rsidR="00E03612" w:rsidRPr="002E4D67" w14:paraId="4305180F" w14:textId="77777777" w:rsidTr="00D64090">
        <w:tc>
          <w:tcPr>
            <w:tcW w:w="1985" w:type="dxa"/>
          </w:tcPr>
          <w:p w14:paraId="4769C201" w14:textId="5C6DCCBD" w:rsidR="00E03612" w:rsidRPr="002E4D67" w:rsidRDefault="00E03612" w:rsidP="00E03612">
            <w:pPr>
              <w:pStyle w:val="berschrift1"/>
              <w:keepNext w:val="0"/>
              <w:keepLines w:val="0"/>
              <w:rPr>
                <w:lang w:val="en-US"/>
              </w:rPr>
            </w:pPr>
            <w:bookmarkStart w:id="228" w:name="_Toc212017901"/>
            <w:bookmarkStart w:id="229" w:name="_Toc213164176"/>
            <w:bookmarkStart w:id="230" w:name="_Toc213179159"/>
            <w:r w:rsidRPr="002E4D67">
              <w:rPr>
                <w:lang w:val="en-US"/>
              </w:rPr>
              <w:t>E.16 Refund mechanism</w:t>
            </w:r>
            <w:bookmarkEnd w:id="228"/>
            <w:bookmarkEnd w:id="229"/>
            <w:bookmarkEnd w:id="230"/>
          </w:p>
        </w:tc>
        <w:tc>
          <w:tcPr>
            <w:tcW w:w="6371" w:type="dxa"/>
          </w:tcPr>
          <w:p w14:paraId="06B34040" w14:textId="77777777" w:rsidR="00627149" w:rsidRDefault="00627149" w:rsidP="00273BB2">
            <w:pPr>
              <w:pStyle w:val="StandardWeb"/>
            </w:pPr>
            <w:r>
              <w:t>During the statutory 14-day withdrawal period under Article 13 MiCAR, no payments are accepted by the issuer. Purchasers only submit a binding commitment, and any payment that is nevertheless made prematurely will be refunded through the same payment channel.</w:t>
            </w:r>
          </w:p>
          <w:p w14:paraId="3927AC47" w14:textId="1A09D814" w:rsidR="00273BB2" w:rsidRPr="002E4D67" w:rsidRDefault="00273BB2" w:rsidP="00273BB2">
            <w:pPr>
              <w:pStyle w:val="StandardWeb"/>
              <w:rPr>
                <w:lang w:val="en-US"/>
              </w:rPr>
            </w:pPr>
            <w:r w:rsidRPr="002E4D67">
              <w:rPr>
                <w:lang w:val="en-US"/>
              </w:rPr>
              <w:t>If a purchaser exercises their right of withdrawal, the refund will be processed according to the following procedure:</w:t>
            </w:r>
          </w:p>
          <w:p w14:paraId="4208FB95" w14:textId="77777777" w:rsidR="00273BB2" w:rsidRPr="002E4D67" w:rsidRDefault="00273BB2" w:rsidP="00273BB2">
            <w:pPr>
              <w:pStyle w:val="StandardWeb"/>
              <w:numPr>
                <w:ilvl w:val="0"/>
                <w:numId w:val="40"/>
              </w:numPr>
              <w:overflowPunct/>
              <w:autoSpaceDE/>
              <w:autoSpaceDN/>
              <w:adjustRightInd/>
              <w:spacing w:before="100" w:beforeAutospacing="1" w:after="100" w:afterAutospacing="1" w:line="240" w:lineRule="auto"/>
              <w:jc w:val="left"/>
              <w:textAlignment w:val="auto"/>
              <w:rPr>
                <w:lang w:val="en-US"/>
              </w:rPr>
            </w:pPr>
            <w:r w:rsidRPr="002E4D67">
              <w:rPr>
                <w:rStyle w:val="Fett"/>
                <w:lang w:val="en-US"/>
              </w:rPr>
              <w:t>Submission of withdrawal request:</w:t>
            </w:r>
            <w:r w:rsidRPr="002E4D67">
              <w:rPr>
                <w:lang w:val="en-US"/>
              </w:rPr>
              <w:br/>
              <w:t>The purchaser must submit the withdrawal request within the statutory withdrawal period by sending an email to:</w:t>
            </w:r>
            <w:r w:rsidRPr="002E4D67">
              <w:rPr>
                <w:lang w:val="en-US"/>
              </w:rPr>
              <w:br/>
            </w:r>
            <w:r w:rsidRPr="002E4D67">
              <w:rPr>
                <w:rStyle w:val="Fett"/>
                <w:lang w:val="en-US"/>
              </w:rPr>
              <w:t>withdrawal@wynd.capital</w:t>
            </w:r>
            <w:r w:rsidRPr="002E4D67">
              <w:rPr>
                <w:lang w:val="en-US"/>
              </w:rPr>
              <w:br/>
              <w:t>The request must include:</w:t>
            </w:r>
          </w:p>
          <w:p w14:paraId="6DA84A29" w14:textId="77777777" w:rsidR="00273BB2" w:rsidRPr="002E4D67" w:rsidRDefault="00273BB2" w:rsidP="00273BB2">
            <w:pPr>
              <w:pStyle w:val="StandardWeb"/>
              <w:numPr>
                <w:ilvl w:val="1"/>
                <w:numId w:val="40"/>
              </w:numPr>
              <w:overflowPunct/>
              <w:autoSpaceDE/>
              <w:autoSpaceDN/>
              <w:adjustRightInd/>
              <w:spacing w:before="100" w:beforeAutospacing="1" w:after="100" w:afterAutospacing="1" w:line="240" w:lineRule="auto"/>
              <w:jc w:val="left"/>
              <w:textAlignment w:val="auto"/>
              <w:rPr>
                <w:lang w:val="en-US"/>
              </w:rPr>
            </w:pPr>
            <w:r w:rsidRPr="002E4D67">
              <w:rPr>
                <w:lang w:val="en-US"/>
              </w:rPr>
              <w:t>full name of the purchaser,</w:t>
            </w:r>
          </w:p>
          <w:p w14:paraId="6C31E839" w14:textId="77777777" w:rsidR="00273BB2" w:rsidRPr="002E4D67" w:rsidRDefault="00273BB2" w:rsidP="00273BB2">
            <w:pPr>
              <w:pStyle w:val="StandardWeb"/>
              <w:numPr>
                <w:ilvl w:val="1"/>
                <w:numId w:val="40"/>
              </w:numPr>
              <w:overflowPunct/>
              <w:autoSpaceDE/>
              <w:autoSpaceDN/>
              <w:adjustRightInd/>
              <w:spacing w:before="100" w:beforeAutospacing="1" w:after="100" w:afterAutospacing="1" w:line="240" w:lineRule="auto"/>
              <w:jc w:val="left"/>
              <w:textAlignment w:val="auto"/>
              <w:rPr>
                <w:lang w:val="en-US"/>
              </w:rPr>
            </w:pPr>
            <w:r w:rsidRPr="002E4D67">
              <w:rPr>
                <w:lang w:val="en-US"/>
              </w:rPr>
              <w:t>date of subscription,</w:t>
            </w:r>
          </w:p>
          <w:p w14:paraId="51A6D11C" w14:textId="77777777" w:rsidR="00273BB2" w:rsidRPr="002E4D67" w:rsidRDefault="00273BB2" w:rsidP="00273BB2">
            <w:pPr>
              <w:pStyle w:val="StandardWeb"/>
              <w:numPr>
                <w:ilvl w:val="1"/>
                <w:numId w:val="40"/>
              </w:numPr>
              <w:overflowPunct/>
              <w:autoSpaceDE/>
              <w:autoSpaceDN/>
              <w:adjustRightInd/>
              <w:spacing w:before="100" w:beforeAutospacing="1" w:after="100" w:afterAutospacing="1" w:line="240" w:lineRule="auto"/>
              <w:jc w:val="left"/>
              <w:textAlignment w:val="auto"/>
              <w:rPr>
                <w:lang w:val="en-US"/>
              </w:rPr>
            </w:pPr>
            <w:r w:rsidRPr="002E4D67">
              <w:rPr>
                <w:lang w:val="en-US"/>
              </w:rPr>
              <w:t>amount paid,</w:t>
            </w:r>
          </w:p>
          <w:p w14:paraId="07B10980" w14:textId="77777777" w:rsidR="00273BB2" w:rsidRPr="002E4D67" w:rsidRDefault="00273BB2" w:rsidP="00273BB2">
            <w:pPr>
              <w:pStyle w:val="StandardWeb"/>
              <w:numPr>
                <w:ilvl w:val="1"/>
                <w:numId w:val="40"/>
              </w:numPr>
              <w:overflowPunct/>
              <w:autoSpaceDE/>
              <w:autoSpaceDN/>
              <w:adjustRightInd/>
              <w:spacing w:before="100" w:beforeAutospacing="1" w:after="100" w:afterAutospacing="1" w:line="240" w:lineRule="auto"/>
              <w:jc w:val="left"/>
              <w:textAlignment w:val="auto"/>
              <w:rPr>
                <w:lang w:val="en-US"/>
              </w:rPr>
            </w:pPr>
            <w:r w:rsidRPr="002E4D67">
              <w:rPr>
                <w:lang w:val="en-US"/>
              </w:rPr>
              <w:t>transaction reference,</w:t>
            </w:r>
          </w:p>
          <w:p w14:paraId="2DC61D50" w14:textId="77777777" w:rsidR="00273BB2" w:rsidRPr="002E4D67" w:rsidRDefault="00273BB2" w:rsidP="00273BB2">
            <w:pPr>
              <w:pStyle w:val="StandardWeb"/>
              <w:numPr>
                <w:ilvl w:val="1"/>
                <w:numId w:val="40"/>
              </w:numPr>
              <w:overflowPunct/>
              <w:autoSpaceDE/>
              <w:autoSpaceDN/>
              <w:adjustRightInd/>
              <w:spacing w:before="100" w:beforeAutospacing="1" w:after="100" w:afterAutospacing="1" w:line="240" w:lineRule="auto"/>
              <w:jc w:val="left"/>
              <w:textAlignment w:val="auto"/>
              <w:rPr>
                <w:lang w:val="en-US"/>
              </w:rPr>
            </w:pPr>
            <w:r w:rsidRPr="002E4D67">
              <w:rPr>
                <w:lang w:val="en-US"/>
              </w:rPr>
              <w:t>the bank account or wallet address originally used for payment.</w:t>
            </w:r>
          </w:p>
          <w:p w14:paraId="245F472D" w14:textId="77777777" w:rsidR="00273BB2" w:rsidRPr="002E4D67" w:rsidRDefault="00273BB2" w:rsidP="00273BB2">
            <w:pPr>
              <w:pStyle w:val="StandardWeb"/>
              <w:numPr>
                <w:ilvl w:val="0"/>
                <w:numId w:val="40"/>
              </w:numPr>
              <w:overflowPunct/>
              <w:autoSpaceDE/>
              <w:autoSpaceDN/>
              <w:adjustRightInd/>
              <w:spacing w:before="100" w:beforeAutospacing="1" w:after="100" w:afterAutospacing="1" w:line="240" w:lineRule="auto"/>
              <w:jc w:val="left"/>
              <w:textAlignment w:val="auto"/>
              <w:rPr>
                <w:lang w:val="en-US"/>
              </w:rPr>
            </w:pPr>
            <w:r w:rsidRPr="002E4D67">
              <w:rPr>
                <w:rStyle w:val="Fett"/>
                <w:lang w:val="en-US"/>
              </w:rPr>
              <w:t>Verification of identity and payment:</w:t>
            </w:r>
            <w:r w:rsidRPr="002E4D67">
              <w:rPr>
                <w:lang w:val="en-US"/>
              </w:rPr>
              <w:br/>
              <w:t>WYND Capital GmbH verifies the purchaser’s identity and confirms the original payment method (IBAN or crypto wallet) used during subscription.</w:t>
            </w:r>
            <w:r w:rsidRPr="002E4D67">
              <w:rPr>
                <w:lang w:val="en-US"/>
              </w:rPr>
              <w:br/>
              <w:t>KYC data already collected at subscription will be used for verification.</w:t>
            </w:r>
          </w:p>
          <w:p w14:paraId="763A5D44" w14:textId="77777777" w:rsidR="00273BB2" w:rsidRPr="002E4D67" w:rsidRDefault="00273BB2" w:rsidP="00273BB2">
            <w:pPr>
              <w:pStyle w:val="StandardWeb"/>
              <w:numPr>
                <w:ilvl w:val="0"/>
                <w:numId w:val="40"/>
              </w:numPr>
              <w:overflowPunct/>
              <w:autoSpaceDE/>
              <w:autoSpaceDN/>
              <w:adjustRightInd/>
              <w:spacing w:before="100" w:beforeAutospacing="1" w:after="100" w:afterAutospacing="1" w:line="240" w:lineRule="auto"/>
              <w:jc w:val="left"/>
              <w:textAlignment w:val="auto"/>
              <w:rPr>
                <w:lang w:val="en-US"/>
              </w:rPr>
            </w:pPr>
            <w:r w:rsidRPr="002E4D67">
              <w:rPr>
                <w:rStyle w:val="Fett"/>
                <w:lang w:val="en-US"/>
              </w:rPr>
              <w:lastRenderedPageBreak/>
              <w:t>Refund authorisation:</w:t>
            </w:r>
            <w:r w:rsidRPr="002E4D67">
              <w:rPr>
                <w:lang w:val="en-US"/>
              </w:rPr>
              <w:br/>
              <w:t>After successful verification, WYND Capital GmbH authorises the refund.</w:t>
            </w:r>
            <w:r w:rsidRPr="002E4D67">
              <w:rPr>
                <w:lang w:val="en-US"/>
              </w:rPr>
              <w:br/>
              <w:t xml:space="preserve">Refunds are only made to the </w:t>
            </w:r>
            <w:r w:rsidRPr="002E4D67">
              <w:rPr>
                <w:rStyle w:val="Fett"/>
                <w:lang w:val="en-US"/>
              </w:rPr>
              <w:t>same bank account</w:t>
            </w:r>
            <w:r w:rsidRPr="002E4D67">
              <w:rPr>
                <w:lang w:val="en-US"/>
              </w:rPr>
              <w:t xml:space="preserve"> or </w:t>
            </w:r>
            <w:r w:rsidRPr="002E4D67">
              <w:rPr>
                <w:rStyle w:val="Fett"/>
                <w:lang w:val="en-US"/>
              </w:rPr>
              <w:t>same crypto wallet</w:t>
            </w:r>
            <w:r w:rsidRPr="002E4D67">
              <w:rPr>
                <w:lang w:val="en-US"/>
              </w:rPr>
              <w:t xml:space="preserve"> from which the original payment was received.</w:t>
            </w:r>
            <w:r w:rsidRPr="002E4D67">
              <w:rPr>
                <w:lang w:val="en-US"/>
              </w:rPr>
              <w:br/>
              <w:t>No refunds will be made to third-party accounts or to different wallets.</w:t>
            </w:r>
          </w:p>
          <w:p w14:paraId="3818E454" w14:textId="77777777" w:rsidR="00273BB2" w:rsidRPr="002E4D67" w:rsidRDefault="00273BB2" w:rsidP="00273BB2">
            <w:pPr>
              <w:pStyle w:val="StandardWeb"/>
              <w:numPr>
                <w:ilvl w:val="0"/>
                <w:numId w:val="40"/>
              </w:numPr>
              <w:overflowPunct/>
              <w:autoSpaceDE/>
              <w:autoSpaceDN/>
              <w:adjustRightInd/>
              <w:spacing w:before="100" w:beforeAutospacing="1" w:after="100" w:afterAutospacing="1" w:line="240" w:lineRule="auto"/>
              <w:jc w:val="left"/>
              <w:textAlignment w:val="auto"/>
              <w:rPr>
                <w:lang w:val="en-US"/>
              </w:rPr>
            </w:pPr>
            <w:r w:rsidRPr="002E4D67">
              <w:rPr>
                <w:rStyle w:val="Fett"/>
                <w:lang w:val="en-US"/>
              </w:rPr>
              <w:t>Execution of refund:</w:t>
            </w:r>
          </w:p>
          <w:p w14:paraId="2DFC3046" w14:textId="77777777" w:rsidR="00273BB2" w:rsidRPr="002E4D67" w:rsidRDefault="00273BB2" w:rsidP="00273BB2">
            <w:pPr>
              <w:pStyle w:val="StandardWeb"/>
              <w:numPr>
                <w:ilvl w:val="1"/>
                <w:numId w:val="40"/>
              </w:numPr>
              <w:overflowPunct/>
              <w:autoSpaceDE/>
              <w:autoSpaceDN/>
              <w:adjustRightInd/>
              <w:spacing w:before="100" w:beforeAutospacing="1" w:after="100" w:afterAutospacing="1" w:line="240" w:lineRule="auto"/>
              <w:jc w:val="left"/>
              <w:textAlignment w:val="auto"/>
              <w:rPr>
                <w:lang w:val="en-US"/>
              </w:rPr>
            </w:pPr>
            <w:r w:rsidRPr="002E4D67">
              <w:rPr>
                <w:rStyle w:val="Fett"/>
                <w:lang w:val="en-US"/>
              </w:rPr>
              <w:t>Fiat payments:</w:t>
            </w:r>
            <w:r w:rsidRPr="002E4D67">
              <w:rPr>
                <w:lang w:val="en-US"/>
              </w:rPr>
              <w:t xml:space="preserve"> refunded via SEPA or SWIFT transfer to the originating bank account.</w:t>
            </w:r>
          </w:p>
          <w:p w14:paraId="3ED4CB64" w14:textId="77777777" w:rsidR="00273BB2" w:rsidRPr="002E4D67" w:rsidRDefault="00273BB2" w:rsidP="00273BB2">
            <w:pPr>
              <w:pStyle w:val="StandardWeb"/>
              <w:numPr>
                <w:ilvl w:val="1"/>
                <w:numId w:val="40"/>
              </w:numPr>
              <w:overflowPunct/>
              <w:autoSpaceDE/>
              <w:autoSpaceDN/>
              <w:adjustRightInd/>
              <w:spacing w:before="100" w:beforeAutospacing="1" w:after="100" w:afterAutospacing="1" w:line="240" w:lineRule="auto"/>
              <w:jc w:val="left"/>
              <w:textAlignment w:val="auto"/>
              <w:rPr>
                <w:lang w:val="en-US"/>
              </w:rPr>
            </w:pPr>
            <w:r w:rsidRPr="002E4D67">
              <w:rPr>
                <w:rStyle w:val="Fett"/>
                <w:lang w:val="en-US"/>
              </w:rPr>
              <w:t>Crypto payments:</w:t>
            </w:r>
            <w:r w:rsidRPr="002E4D67">
              <w:rPr>
                <w:lang w:val="en-US"/>
              </w:rPr>
              <w:t xml:space="preserve"> refunded to the originating wallet using the same blockchain network used in the original transaction.</w:t>
            </w:r>
            <w:r w:rsidRPr="002E4D67">
              <w:rPr>
                <w:lang w:val="en-US"/>
              </w:rPr>
              <w:br/>
              <w:t>Network fees (gas fees) are deducted automatically since they are outside the control of the issuer.</w:t>
            </w:r>
          </w:p>
          <w:p w14:paraId="048B8CA1" w14:textId="77777777" w:rsidR="00273BB2" w:rsidRPr="002E4D67" w:rsidRDefault="00273BB2" w:rsidP="00273BB2">
            <w:pPr>
              <w:pStyle w:val="StandardWeb"/>
              <w:numPr>
                <w:ilvl w:val="0"/>
                <w:numId w:val="40"/>
              </w:numPr>
              <w:overflowPunct/>
              <w:autoSpaceDE/>
              <w:autoSpaceDN/>
              <w:adjustRightInd/>
              <w:spacing w:before="100" w:beforeAutospacing="1" w:after="100" w:afterAutospacing="1" w:line="240" w:lineRule="auto"/>
              <w:jc w:val="left"/>
              <w:textAlignment w:val="auto"/>
              <w:rPr>
                <w:lang w:val="en-US"/>
              </w:rPr>
            </w:pPr>
            <w:r w:rsidRPr="002E4D67">
              <w:rPr>
                <w:rStyle w:val="Fett"/>
                <w:lang w:val="en-US"/>
              </w:rPr>
              <w:t>Refund timeline:</w:t>
            </w:r>
            <w:r w:rsidRPr="002E4D67">
              <w:rPr>
                <w:lang w:val="en-US"/>
              </w:rPr>
              <w:br/>
              <w:t xml:space="preserve">Refunds are executed </w:t>
            </w:r>
            <w:r w:rsidRPr="002E4D67">
              <w:rPr>
                <w:rStyle w:val="Fett"/>
                <w:lang w:val="en-US"/>
              </w:rPr>
              <w:t>within 14 days</w:t>
            </w:r>
            <w:r w:rsidRPr="002E4D67">
              <w:rPr>
                <w:lang w:val="en-US"/>
              </w:rPr>
              <w:t xml:space="preserve"> after receipt of a valid withdrawal request.</w:t>
            </w:r>
            <w:r w:rsidRPr="002E4D67">
              <w:rPr>
                <w:lang w:val="en-US"/>
              </w:rPr>
              <w:br/>
              <w:t>Delays related to banking institutions, blockchain confirmation times, or AML checks may extend this period; such delays do not affect the purchaser’s right to a full refund.</w:t>
            </w:r>
          </w:p>
          <w:p w14:paraId="3F44873D" w14:textId="4BC8A426" w:rsidR="00273BB2" w:rsidRPr="002E4D67" w:rsidRDefault="00273BB2" w:rsidP="00E03612">
            <w:pPr>
              <w:pStyle w:val="StandardWeb"/>
              <w:numPr>
                <w:ilvl w:val="0"/>
                <w:numId w:val="40"/>
              </w:numPr>
              <w:overflowPunct/>
              <w:autoSpaceDE/>
              <w:autoSpaceDN/>
              <w:adjustRightInd/>
              <w:spacing w:before="100" w:beforeAutospacing="1" w:after="100" w:afterAutospacing="1" w:line="240" w:lineRule="auto"/>
              <w:jc w:val="left"/>
              <w:textAlignment w:val="auto"/>
              <w:rPr>
                <w:lang w:val="en-US"/>
              </w:rPr>
            </w:pPr>
            <w:r w:rsidRPr="002E4D67">
              <w:rPr>
                <w:rStyle w:val="Fett"/>
                <w:lang w:val="en-US"/>
              </w:rPr>
              <w:t>Confirmation of refund:</w:t>
            </w:r>
            <w:r w:rsidRPr="002E4D67">
              <w:rPr>
                <w:lang w:val="en-US"/>
              </w:rPr>
              <w:br/>
              <w:t>After execution, WYND Capital GmbH sends an email confirmation to the purchaser, including the transaction reference of the refund.</w:t>
            </w:r>
          </w:p>
        </w:tc>
      </w:tr>
      <w:tr w:rsidR="00E03612" w:rsidRPr="002E4D67" w14:paraId="11EEB213" w14:textId="77777777" w:rsidTr="00D64090">
        <w:tc>
          <w:tcPr>
            <w:tcW w:w="1985" w:type="dxa"/>
          </w:tcPr>
          <w:p w14:paraId="78B6C1E5" w14:textId="72AF962F" w:rsidR="00E03612" w:rsidRPr="002E4D67" w:rsidRDefault="00E03612" w:rsidP="00E03612">
            <w:pPr>
              <w:pStyle w:val="berschrift1"/>
              <w:keepNext w:val="0"/>
              <w:keepLines w:val="0"/>
              <w:rPr>
                <w:lang w:val="en-US"/>
              </w:rPr>
            </w:pPr>
            <w:bookmarkStart w:id="231" w:name="_Toc212017903"/>
            <w:bookmarkStart w:id="232" w:name="_Toc213164177"/>
            <w:bookmarkStart w:id="233" w:name="_Toc213179160"/>
            <w:r w:rsidRPr="002E4D67">
              <w:rPr>
                <w:lang w:val="en-US"/>
              </w:rPr>
              <w:lastRenderedPageBreak/>
              <w:t>E.17 Refund timeline</w:t>
            </w:r>
            <w:bookmarkEnd w:id="231"/>
            <w:bookmarkEnd w:id="232"/>
            <w:bookmarkEnd w:id="233"/>
          </w:p>
        </w:tc>
        <w:tc>
          <w:tcPr>
            <w:tcW w:w="6371" w:type="dxa"/>
          </w:tcPr>
          <w:p w14:paraId="1639615C" w14:textId="77777777" w:rsidR="00E03612" w:rsidRPr="002E4D67" w:rsidRDefault="00E03612" w:rsidP="00E03612">
            <w:pPr>
              <w:pStyle w:val="Textkrper"/>
              <w:rPr>
                <w:rFonts w:cstheme="minorHAnsi"/>
                <w:lang w:val="en-US"/>
              </w:rPr>
            </w:pPr>
            <w:bookmarkStart w:id="234" w:name="_cp_change_672"/>
            <w:r w:rsidRPr="002E4D67">
              <w:rPr>
                <w:rFonts w:cstheme="minorHAnsi"/>
                <w:lang w:val="en-US"/>
              </w:rPr>
              <w:t>WYND Capital GmbH ensures that any refunds requested by retail purchasers exercising their right to withdraw from the purchase of $WYND tokens will be processed without undue delay.</w:t>
            </w:r>
            <w:bookmarkStart w:id="235" w:name="_cp_change_671"/>
            <w:bookmarkEnd w:id="234"/>
          </w:p>
          <w:p w14:paraId="3258C0F1" w14:textId="77777777" w:rsidR="00E03612" w:rsidRPr="002E4D67" w:rsidRDefault="00E03612" w:rsidP="00E03612">
            <w:pPr>
              <w:pStyle w:val="Textkrper"/>
              <w:rPr>
                <w:rFonts w:cstheme="minorHAnsi"/>
                <w:lang w:val="en-US"/>
              </w:rPr>
            </w:pPr>
            <w:bookmarkStart w:id="236" w:name="_cp_change_684"/>
            <w:bookmarkEnd w:id="235"/>
            <w:r w:rsidRPr="002E4D67">
              <w:rPr>
                <w:rFonts w:cstheme="minorHAnsi"/>
                <w:lang w:val="en-US"/>
              </w:rPr>
              <w:t>Refunds will be executed promptly and, in any case, no later than 14 days from the date on which MD Capital GmbH is notified of the purchaser’s decision to withdraw from the purchase agreement.</w:t>
            </w:r>
            <w:bookmarkEnd w:id="236"/>
          </w:p>
        </w:tc>
      </w:tr>
      <w:tr w:rsidR="00E03612" w:rsidRPr="002E4D67" w14:paraId="10A90338" w14:textId="77777777" w:rsidTr="00D64090">
        <w:tc>
          <w:tcPr>
            <w:tcW w:w="1985" w:type="dxa"/>
          </w:tcPr>
          <w:p w14:paraId="59BC0027" w14:textId="2B3D7639" w:rsidR="00E03612" w:rsidRPr="002E4D67" w:rsidRDefault="00E03612" w:rsidP="00E03612">
            <w:pPr>
              <w:pStyle w:val="berschrift1"/>
              <w:keepNext w:val="0"/>
              <w:keepLines w:val="0"/>
              <w:rPr>
                <w:lang w:val="en-US"/>
              </w:rPr>
            </w:pPr>
            <w:bookmarkStart w:id="237" w:name="_Toc212017905"/>
            <w:bookmarkStart w:id="238" w:name="_Toc213164178"/>
            <w:bookmarkStart w:id="239" w:name="_Toc213179161"/>
            <w:r w:rsidRPr="002E4D67">
              <w:rPr>
                <w:lang w:val="en-US"/>
              </w:rPr>
              <w:t>E.18 Offer phases</w:t>
            </w:r>
            <w:bookmarkEnd w:id="237"/>
            <w:bookmarkEnd w:id="238"/>
            <w:bookmarkEnd w:id="239"/>
          </w:p>
        </w:tc>
        <w:tc>
          <w:tcPr>
            <w:tcW w:w="6371" w:type="dxa"/>
          </w:tcPr>
          <w:p w14:paraId="1C5EB229" w14:textId="77777777" w:rsidR="00E03612" w:rsidRPr="002E4D67" w:rsidRDefault="00E03612" w:rsidP="00E03612">
            <w:pPr>
              <w:pStyle w:val="Textkrper"/>
              <w:rPr>
                <w:rFonts w:cstheme="minorHAnsi"/>
                <w:lang w:val="en-US"/>
              </w:rPr>
            </w:pPr>
          </w:p>
          <w:tbl>
            <w:tblPr>
              <w:tblW w:w="6172"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1160"/>
              <w:gridCol w:w="993"/>
              <w:gridCol w:w="952"/>
              <w:gridCol w:w="799"/>
              <w:gridCol w:w="851"/>
              <w:gridCol w:w="1417"/>
            </w:tblGrid>
            <w:tr w:rsidR="00E03612" w:rsidRPr="002E4D67" w14:paraId="566396C9" w14:textId="77777777" w:rsidTr="00D64090">
              <w:tc>
                <w:tcPr>
                  <w:tcW w:w="1160" w:type="dxa"/>
                </w:tcPr>
                <w:p w14:paraId="77E58823" w14:textId="77777777" w:rsidR="00E03612" w:rsidRPr="002E4D67" w:rsidRDefault="00E03612" w:rsidP="00E03612">
                  <w:pPr>
                    <w:pStyle w:val="Textkrper"/>
                    <w:rPr>
                      <w:rFonts w:cstheme="minorHAnsi"/>
                      <w:lang w:val="en-US"/>
                    </w:rPr>
                  </w:pPr>
                  <w:r w:rsidRPr="002E4D67">
                    <w:rPr>
                      <w:rFonts w:cstheme="minorHAnsi"/>
                      <w:lang w:val="en-US"/>
                    </w:rPr>
                    <w:t>Phase</w:t>
                  </w:r>
                </w:p>
              </w:tc>
              <w:tc>
                <w:tcPr>
                  <w:tcW w:w="993" w:type="dxa"/>
                </w:tcPr>
                <w:p w14:paraId="3BA49E3A" w14:textId="77777777" w:rsidR="00E03612" w:rsidRPr="002E4D67" w:rsidRDefault="00E03612" w:rsidP="00E03612">
                  <w:pPr>
                    <w:pStyle w:val="Textkrper"/>
                    <w:rPr>
                      <w:rFonts w:cstheme="minorHAnsi"/>
                      <w:lang w:val="en-US"/>
                    </w:rPr>
                  </w:pPr>
                  <w:r w:rsidRPr="002E4D67">
                    <w:rPr>
                      <w:rFonts w:cstheme="minorHAnsi"/>
                      <w:lang w:val="en-US"/>
                    </w:rPr>
                    <w:t>Allocation</w:t>
                  </w:r>
                </w:p>
              </w:tc>
              <w:tc>
                <w:tcPr>
                  <w:tcW w:w="952" w:type="dxa"/>
                </w:tcPr>
                <w:p w14:paraId="3556E61F" w14:textId="77777777" w:rsidR="00E03612" w:rsidRPr="002E4D67" w:rsidRDefault="00E03612" w:rsidP="00E03612">
                  <w:pPr>
                    <w:pStyle w:val="Textkrper"/>
                    <w:rPr>
                      <w:rFonts w:cstheme="minorHAnsi"/>
                      <w:lang w:val="en-US"/>
                    </w:rPr>
                  </w:pPr>
                  <w:r w:rsidRPr="002E4D67">
                    <w:rPr>
                      <w:rFonts w:cstheme="minorHAnsi"/>
                      <w:lang w:val="en-US"/>
                    </w:rPr>
                    <w:t>Issue Price (USD)</w:t>
                  </w:r>
                </w:p>
              </w:tc>
              <w:tc>
                <w:tcPr>
                  <w:tcW w:w="799" w:type="dxa"/>
                </w:tcPr>
                <w:p w14:paraId="61C6FEF0" w14:textId="77777777" w:rsidR="00E03612" w:rsidRPr="002E4D67" w:rsidRDefault="00E03612" w:rsidP="00E03612">
                  <w:pPr>
                    <w:pStyle w:val="Textkrper"/>
                    <w:rPr>
                      <w:rFonts w:cstheme="minorHAnsi"/>
                      <w:lang w:val="en-US"/>
                    </w:rPr>
                  </w:pPr>
                  <w:r w:rsidRPr="002E4D67">
                    <w:rPr>
                      <w:rFonts w:cstheme="minorHAnsi"/>
                      <w:lang w:val="en-US"/>
                    </w:rPr>
                    <w:t>Cliff</w:t>
                  </w:r>
                </w:p>
              </w:tc>
              <w:tc>
                <w:tcPr>
                  <w:tcW w:w="851" w:type="dxa"/>
                </w:tcPr>
                <w:p w14:paraId="2A2F2890" w14:textId="77777777" w:rsidR="00E03612" w:rsidRPr="002E4D67" w:rsidRDefault="00E03612" w:rsidP="00E03612">
                  <w:pPr>
                    <w:pStyle w:val="Textkrper"/>
                    <w:rPr>
                      <w:rFonts w:cstheme="minorHAnsi"/>
                      <w:lang w:val="en-US"/>
                    </w:rPr>
                  </w:pPr>
                  <w:r w:rsidRPr="002E4D67">
                    <w:rPr>
                      <w:rFonts w:cstheme="minorHAnsi"/>
                      <w:lang w:val="en-US"/>
                    </w:rPr>
                    <w:t>Vesting (months)</w:t>
                  </w:r>
                </w:p>
              </w:tc>
              <w:tc>
                <w:tcPr>
                  <w:tcW w:w="1417" w:type="dxa"/>
                </w:tcPr>
                <w:p w14:paraId="6E33DAF3" w14:textId="77777777" w:rsidR="00E03612" w:rsidRPr="002E4D67" w:rsidRDefault="00E03612" w:rsidP="00E03612">
                  <w:pPr>
                    <w:pStyle w:val="Textkrper"/>
                    <w:rPr>
                      <w:rFonts w:cstheme="minorHAnsi"/>
                      <w:lang w:val="en-US"/>
                    </w:rPr>
                  </w:pPr>
                  <w:r w:rsidRPr="002E4D67">
                    <w:rPr>
                      <w:rFonts w:cstheme="minorHAnsi"/>
                      <w:lang w:val="en-US"/>
                    </w:rPr>
                    <w:t>Access Type</w:t>
                  </w:r>
                </w:p>
              </w:tc>
            </w:tr>
            <w:tr w:rsidR="00E03612" w:rsidRPr="002E4D67" w14:paraId="5053627E" w14:textId="77777777" w:rsidTr="00D64090">
              <w:tc>
                <w:tcPr>
                  <w:tcW w:w="1160" w:type="dxa"/>
                </w:tcPr>
                <w:p w14:paraId="459C7642" w14:textId="77777777" w:rsidR="00E03612" w:rsidRPr="002E4D67" w:rsidRDefault="00E03612" w:rsidP="00E03612">
                  <w:pPr>
                    <w:pStyle w:val="Textkrper"/>
                    <w:rPr>
                      <w:rFonts w:cstheme="minorHAnsi"/>
                      <w:lang w:val="en-US"/>
                    </w:rPr>
                  </w:pPr>
                  <w:r w:rsidRPr="002E4D67">
                    <w:rPr>
                      <w:rFonts w:cstheme="minorHAnsi"/>
                      <w:lang w:val="en-US"/>
                    </w:rPr>
                    <w:t>Pre-Seed</w:t>
                  </w:r>
                </w:p>
              </w:tc>
              <w:tc>
                <w:tcPr>
                  <w:tcW w:w="993" w:type="dxa"/>
                </w:tcPr>
                <w:p w14:paraId="1E71A8A1" w14:textId="77777777" w:rsidR="00E03612" w:rsidRPr="002E4D67" w:rsidRDefault="00E03612" w:rsidP="00E03612">
                  <w:pPr>
                    <w:pStyle w:val="Textkrper"/>
                    <w:rPr>
                      <w:rFonts w:cstheme="minorHAnsi"/>
                      <w:lang w:val="en-US"/>
                    </w:rPr>
                  </w:pPr>
                  <w:r w:rsidRPr="002E4D67">
                    <w:rPr>
                      <w:rFonts w:cstheme="minorHAnsi"/>
                      <w:lang w:val="en-US"/>
                    </w:rPr>
                    <w:t>1,500,000 (1.5%)</w:t>
                  </w:r>
                </w:p>
              </w:tc>
              <w:tc>
                <w:tcPr>
                  <w:tcW w:w="952" w:type="dxa"/>
                </w:tcPr>
                <w:p w14:paraId="095EFC7D" w14:textId="668163CF" w:rsidR="00E03612" w:rsidRPr="002E4D67" w:rsidRDefault="007D5D6A" w:rsidP="00E03612">
                  <w:pPr>
                    <w:pStyle w:val="Textkrper"/>
                    <w:rPr>
                      <w:rFonts w:cstheme="minorHAnsi"/>
                      <w:lang w:val="en-US"/>
                    </w:rPr>
                  </w:pPr>
                  <w:r>
                    <w:rPr>
                      <w:rFonts w:cstheme="minorHAnsi"/>
                      <w:lang w:val="en-US"/>
                    </w:rPr>
                    <w:t>$</w:t>
                  </w:r>
                  <w:r w:rsidR="00E03612" w:rsidRPr="002E4D67">
                    <w:rPr>
                      <w:rFonts w:cstheme="minorHAnsi"/>
                      <w:lang w:val="en-US"/>
                    </w:rPr>
                    <w:t>0.35</w:t>
                  </w:r>
                </w:p>
              </w:tc>
              <w:tc>
                <w:tcPr>
                  <w:tcW w:w="799" w:type="dxa"/>
                </w:tcPr>
                <w:p w14:paraId="1C08EC47" w14:textId="77777777" w:rsidR="00E03612" w:rsidRPr="002E4D67" w:rsidRDefault="00E03612" w:rsidP="00E03612">
                  <w:pPr>
                    <w:pStyle w:val="Textkrper"/>
                    <w:rPr>
                      <w:rFonts w:cstheme="minorHAnsi"/>
                      <w:lang w:val="en-US"/>
                    </w:rPr>
                  </w:pPr>
                  <w:r w:rsidRPr="002E4D67">
                    <w:rPr>
                      <w:rFonts w:cstheme="minorHAnsi"/>
                      <w:lang w:val="en-US"/>
                    </w:rPr>
                    <w:t>12 m</w:t>
                  </w:r>
                </w:p>
              </w:tc>
              <w:tc>
                <w:tcPr>
                  <w:tcW w:w="851" w:type="dxa"/>
                </w:tcPr>
                <w:p w14:paraId="1D5D215C" w14:textId="77777777" w:rsidR="00E03612" w:rsidRPr="002E4D67" w:rsidRDefault="00E03612" w:rsidP="00E03612">
                  <w:pPr>
                    <w:pStyle w:val="Textkrper"/>
                    <w:rPr>
                      <w:rFonts w:cstheme="minorHAnsi"/>
                      <w:lang w:val="en-US"/>
                    </w:rPr>
                  </w:pPr>
                  <w:r w:rsidRPr="002E4D67">
                    <w:rPr>
                      <w:rFonts w:cstheme="minorHAnsi"/>
                      <w:lang w:val="en-US"/>
                    </w:rPr>
                    <w:t>18 m</w:t>
                  </w:r>
                </w:p>
              </w:tc>
              <w:tc>
                <w:tcPr>
                  <w:tcW w:w="1417" w:type="dxa"/>
                </w:tcPr>
                <w:p w14:paraId="18D5776D" w14:textId="77777777" w:rsidR="00E03612" w:rsidRPr="002E4D67" w:rsidRDefault="00E03612" w:rsidP="00E03612">
                  <w:pPr>
                    <w:pStyle w:val="Textkrper"/>
                    <w:rPr>
                      <w:rFonts w:cstheme="minorHAnsi"/>
                      <w:lang w:val="en-US"/>
                    </w:rPr>
                  </w:pPr>
                  <w:r w:rsidRPr="002E4D67">
                    <w:rPr>
                      <w:rFonts w:cstheme="minorHAnsi"/>
                      <w:lang w:val="en-US"/>
                    </w:rPr>
                    <w:t>Private placement – strategic contributors</w:t>
                  </w:r>
                </w:p>
              </w:tc>
            </w:tr>
            <w:tr w:rsidR="00E03612" w:rsidRPr="002E4D67" w14:paraId="48BB7F26" w14:textId="77777777" w:rsidTr="00D64090">
              <w:tc>
                <w:tcPr>
                  <w:tcW w:w="1160" w:type="dxa"/>
                </w:tcPr>
                <w:p w14:paraId="29F66A12" w14:textId="77777777" w:rsidR="00E03612" w:rsidRPr="002E4D67" w:rsidRDefault="00E03612" w:rsidP="00E03612">
                  <w:pPr>
                    <w:pStyle w:val="Textkrper"/>
                    <w:rPr>
                      <w:rFonts w:cstheme="minorHAnsi"/>
                      <w:lang w:val="en-US"/>
                    </w:rPr>
                  </w:pPr>
                  <w:r w:rsidRPr="002E4D67">
                    <w:rPr>
                      <w:rFonts w:cstheme="minorHAnsi"/>
                      <w:lang w:val="en-US"/>
                    </w:rPr>
                    <w:lastRenderedPageBreak/>
                    <w:t>Seed</w:t>
                  </w:r>
                </w:p>
              </w:tc>
              <w:tc>
                <w:tcPr>
                  <w:tcW w:w="993" w:type="dxa"/>
                </w:tcPr>
                <w:p w14:paraId="6D4FF666" w14:textId="77777777" w:rsidR="00E03612" w:rsidRPr="002E4D67" w:rsidRDefault="00E03612" w:rsidP="00E03612">
                  <w:pPr>
                    <w:pStyle w:val="Textkrper"/>
                    <w:rPr>
                      <w:rFonts w:cstheme="minorHAnsi"/>
                      <w:lang w:val="en-US"/>
                    </w:rPr>
                  </w:pPr>
                  <w:r w:rsidRPr="002E4D67">
                    <w:rPr>
                      <w:rFonts w:cstheme="minorHAnsi"/>
                      <w:lang w:val="en-US"/>
                    </w:rPr>
                    <w:t>3,000,000 (3.0%)</w:t>
                  </w:r>
                </w:p>
              </w:tc>
              <w:tc>
                <w:tcPr>
                  <w:tcW w:w="952" w:type="dxa"/>
                </w:tcPr>
                <w:p w14:paraId="2FAC9A4C" w14:textId="0CDEE015" w:rsidR="00E03612" w:rsidRPr="002E4D67" w:rsidRDefault="007D5D6A" w:rsidP="00E03612">
                  <w:pPr>
                    <w:pStyle w:val="Textkrper"/>
                    <w:rPr>
                      <w:rFonts w:cstheme="minorHAnsi"/>
                      <w:lang w:val="en-US"/>
                    </w:rPr>
                  </w:pPr>
                  <w:r>
                    <w:rPr>
                      <w:rFonts w:cstheme="minorHAnsi"/>
                      <w:lang w:val="en-US"/>
                    </w:rPr>
                    <w:t>$</w:t>
                  </w:r>
                  <w:r w:rsidR="00E03612" w:rsidRPr="002E4D67">
                    <w:rPr>
                      <w:rFonts w:cstheme="minorHAnsi"/>
                      <w:lang w:val="en-US"/>
                    </w:rPr>
                    <w:t>0.455</w:t>
                  </w:r>
                </w:p>
              </w:tc>
              <w:tc>
                <w:tcPr>
                  <w:tcW w:w="799" w:type="dxa"/>
                </w:tcPr>
                <w:p w14:paraId="0BA8172D" w14:textId="77777777" w:rsidR="00E03612" w:rsidRPr="002E4D67" w:rsidRDefault="00E03612" w:rsidP="00E03612">
                  <w:pPr>
                    <w:pStyle w:val="Textkrper"/>
                    <w:rPr>
                      <w:rFonts w:cstheme="minorHAnsi"/>
                      <w:lang w:val="en-US"/>
                    </w:rPr>
                  </w:pPr>
                  <w:r w:rsidRPr="002E4D67">
                    <w:rPr>
                      <w:rFonts w:cstheme="minorHAnsi"/>
                      <w:lang w:val="en-US"/>
                    </w:rPr>
                    <w:t>12 m</w:t>
                  </w:r>
                </w:p>
              </w:tc>
              <w:tc>
                <w:tcPr>
                  <w:tcW w:w="851" w:type="dxa"/>
                </w:tcPr>
                <w:p w14:paraId="4A8DCA5A" w14:textId="77777777" w:rsidR="00E03612" w:rsidRPr="002E4D67" w:rsidRDefault="00E03612" w:rsidP="00E03612">
                  <w:pPr>
                    <w:pStyle w:val="Textkrper"/>
                    <w:rPr>
                      <w:rFonts w:cstheme="minorHAnsi"/>
                      <w:lang w:val="en-US"/>
                    </w:rPr>
                  </w:pPr>
                  <w:r w:rsidRPr="002E4D67">
                    <w:rPr>
                      <w:rFonts w:cstheme="minorHAnsi"/>
                      <w:lang w:val="en-US"/>
                    </w:rPr>
                    <w:t>18 m</w:t>
                  </w:r>
                </w:p>
              </w:tc>
              <w:tc>
                <w:tcPr>
                  <w:tcW w:w="1417" w:type="dxa"/>
                </w:tcPr>
                <w:p w14:paraId="3C98B098" w14:textId="77777777" w:rsidR="00E03612" w:rsidRPr="002E4D67" w:rsidRDefault="00E03612" w:rsidP="00E03612">
                  <w:pPr>
                    <w:pStyle w:val="Textkrper"/>
                    <w:rPr>
                      <w:rFonts w:cstheme="minorHAnsi"/>
                      <w:lang w:val="en-US"/>
                    </w:rPr>
                  </w:pPr>
                  <w:r w:rsidRPr="002E4D67">
                    <w:rPr>
                      <w:rFonts w:cstheme="minorHAnsi"/>
                      <w:lang w:val="en-US"/>
                    </w:rPr>
                    <w:t>Private placement – early supporters</w:t>
                  </w:r>
                </w:p>
              </w:tc>
            </w:tr>
            <w:tr w:rsidR="00E03612" w:rsidRPr="002E4D67" w14:paraId="7F86FE1B" w14:textId="77777777" w:rsidTr="00D64090">
              <w:tc>
                <w:tcPr>
                  <w:tcW w:w="1160" w:type="dxa"/>
                </w:tcPr>
                <w:p w14:paraId="5C09BD07" w14:textId="77777777" w:rsidR="00E03612" w:rsidRPr="002E4D67" w:rsidRDefault="00E03612" w:rsidP="00E03612">
                  <w:pPr>
                    <w:pStyle w:val="Textkrper"/>
                    <w:rPr>
                      <w:rFonts w:cstheme="minorHAnsi"/>
                      <w:lang w:val="en-US"/>
                    </w:rPr>
                  </w:pPr>
                  <w:r w:rsidRPr="002E4D67">
                    <w:rPr>
                      <w:rFonts w:cstheme="minorHAnsi"/>
                      <w:lang w:val="en-US"/>
                    </w:rPr>
                    <w:t>Strategic</w:t>
                  </w:r>
                </w:p>
              </w:tc>
              <w:tc>
                <w:tcPr>
                  <w:tcW w:w="993" w:type="dxa"/>
                </w:tcPr>
                <w:p w14:paraId="7CA5A8C8" w14:textId="77777777" w:rsidR="00E03612" w:rsidRPr="002E4D67" w:rsidRDefault="00E03612" w:rsidP="00E03612">
                  <w:pPr>
                    <w:pStyle w:val="Textkrper"/>
                    <w:rPr>
                      <w:rFonts w:cstheme="minorHAnsi"/>
                      <w:lang w:val="en-US"/>
                    </w:rPr>
                  </w:pPr>
                  <w:r w:rsidRPr="002E4D67">
                    <w:rPr>
                      <w:rFonts w:cstheme="minorHAnsi"/>
                      <w:lang w:val="en-US"/>
                    </w:rPr>
                    <w:t>4,000,000 (4.0%)</w:t>
                  </w:r>
                </w:p>
              </w:tc>
              <w:tc>
                <w:tcPr>
                  <w:tcW w:w="952" w:type="dxa"/>
                </w:tcPr>
                <w:p w14:paraId="7A48E86E" w14:textId="5D473DF9" w:rsidR="00E03612" w:rsidRPr="002E4D67" w:rsidRDefault="007D5D6A" w:rsidP="00E03612">
                  <w:pPr>
                    <w:pStyle w:val="Textkrper"/>
                    <w:rPr>
                      <w:rFonts w:cstheme="minorHAnsi"/>
                      <w:lang w:val="en-US"/>
                    </w:rPr>
                  </w:pPr>
                  <w:r>
                    <w:rPr>
                      <w:rFonts w:cstheme="minorHAnsi"/>
                      <w:lang w:val="en-US"/>
                    </w:rPr>
                    <w:t>$</w:t>
                  </w:r>
                  <w:r w:rsidR="00E03612" w:rsidRPr="002E4D67">
                    <w:rPr>
                      <w:rFonts w:cstheme="minorHAnsi"/>
                      <w:lang w:val="en-US"/>
                    </w:rPr>
                    <w:t>0.592</w:t>
                  </w:r>
                </w:p>
              </w:tc>
              <w:tc>
                <w:tcPr>
                  <w:tcW w:w="799" w:type="dxa"/>
                </w:tcPr>
                <w:p w14:paraId="5A09B3D4" w14:textId="77777777" w:rsidR="00E03612" w:rsidRPr="002E4D67" w:rsidRDefault="00E03612" w:rsidP="00E03612">
                  <w:pPr>
                    <w:pStyle w:val="Textkrper"/>
                    <w:rPr>
                      <w:rFonts w:cstheme="minorHAnsi"/>
                      <w:lang w:val="en-US"/>
                    </w:rPr>
                  </w:pPr>
                  <w:r w:rsidRPr="002E4D67">
                    <w:rPr>
                      <w:rFonts w:cstheme="minorHAnsi"/>
                      <w:lang w:val="en-US"/>
                    </w:rPr>
                    <w:t>9 m</w:t>
                  </w:r>
                </w:p>
              </w:tc>
              <w:tc>
                <w:tcPr>
                  <w:tcW w:w="851" w:type="dxa"/>
                </w:tcPr>
                <w:p w14:paraId="4144AD33" w14:textId="77777777" w:rsidR="00E03612" w:rsidRPr="002E4D67" w:rsidRDefault="00E03612" w:rsidP="00E03612">
                  <w:pPr>
                    <w:pStyle w:val="Textkrper"/>
                    <w:rPr>
                      <w:rFonts w:cstheme="minorHAnsi"/>
                      <w:lang w:val="en-US"/>
                    </w:rPr>
                  </w:pPr>
                  <w:r w:rsidRPr="002E4D67">
                    <w:rPr>
                      <w:rFonts w:cstheme="minorHAnsi"/>
                      <w:lang w:val="en-US"/>
                    </w:rPr>
                    <w:t>12 m</w:t>
                  </w:r>
                </w:p>
              </w:tc>
              <w:tc>
                <w:tcPr>
                  <w:tcW w:w="1417" w:type="dxa"/>
                </w:tcPr>
                <w:p w14:paraId="02B54790" w14:textId="77777777" w:rsidR="00E03612" w:rsidRPr="002E4D67" w:rsidRDefault="00E03612" w:rsidP="00E03612">
                  <w:pPr>
                    <w:pStyle w:val="Textkrper"/>
                    <w:rPr>
                      <w:rFonts w:cstheme="minorHAnsi"/>
                      <w:lang w:val="en-US"/>
                    </w:rPr>
                  </w:pPr>
                  <w:r w:rsidRPr="002E4D67">
                    <w:rPr>
                      <w:rFonts w:cstheme="minorHAnsi"/>
                      <w:lang w:val="en-US"/>
                    </w:rPr>
                    <w:t>Private offering – partners / institutional</w:t>
                  </w:r>
                </w:p>
              </w:tc>
            </w:tr>
            <w:tr w:rsidR="00E03612" w:rsidRPr="002E4D67" w14:paraId="7293F5C0" w14:textId="77777777" w:rsidTr="00D64090">
              <w:tc>
                <w:tcPr>
                  <w:tcW w:w="1160" w:type="dxa"/>
                </w:tcPr>
                <w:p w14:paraId="78CF44BF" w14:textId="77777777" w:rsidR="00E03612" w:rsidRPr="002E4D67" w:rsidRDefault="00E03612" w:rsidP="00E03612">
                  <w:pPr>
                    <w:pStyle w:val="Textkrper"/>
                    <w:rPr>
                      <w:rFonts w:cstheme="minorHAnsi"/>
                      <w:lang w:val="en-US"/>
                    </w:rPr>
                  </w:pPr>
                  <w:r w:rsidRPr="002E4D67">
                    <w:rPr>
                      <w:rFonts w:cstheme="minorHAnsi"/>
                      <w:lang w:val="en-US"/>
                    </w:rPr>
                    <w:t>Pre-Public</w:t>
                  </w:r>
                </w:p>
              </w:tc>
              <w:tc>
                <w:tcPr>
                  <w:tcW w:w="993" w:type="dxa"/>
                </w:tcPr>
                <w:p w14:paraId="428D5CBB" w14:textId="77777777" w:rsidR="00E03612" w:rsidRPr="002E4D67" w:rsidRDefault="00E03612" w:rsidP="00E03612">
                  <w:pPr>
                    <w:pStyle w:val="Textkrper"/>
                    <w:rPr>
                      <w:rFonts w:cstheme="minorHAnsi"/>
                      <w:lang w:val="en-US"/>
                    </w:rPr>
                  </w:pPr>
                  <w:r w:rsidRPr="002E4D67">
                    <w:rPr>
                      <w:rFonts w:cstheme="minorHAnsi"/>
                      <w:lang w:val="en-US"/>
                    </w:rPr>
                    <w:t>4,000,000 (4.0%)</w:t>
                  </w:r>
                </w:p>
              </w:tc>
              <w:tc>
                <w:tcPr>
                  <w:tcW w:w="952" w:type="dxa"/>
                </w:tcPr>
                <w:p w14:paraId="442B49D3" w14:textId="11216A14" w:rsidR="00E03612" w:rsidRPr="002E4D67" w:rsidRDefault="007D5D6A" w:rsidP="00E03612">
                  <w:pPr>
                    <w:pStyle w:val="Textkrper"/>
                    <w:rPr>
                      <w:rFonts w:cstheme="minorHAnsi"/>
                      <w:lang w:val="en-US"/>
                    </w:rPr>
                  </w:pPr>
                  <w:r>
                    <w:rPr>
                      <w:rFonts w:cstheme="minorHAnsi"/>
                      <w:lang w:val="en-US"/>
                    </w:rPr>
                    <w:t>$</w:t>
                  </w:r>
                  <w:r w:rsidR="00E03612" w:rsidRPr="002E4D67">
                    <w:rPr>
                      <w:rFonts w:cstheme="minorHAnsi"/>
                      <w:lang w:val="en-US"/>
                    </w:rPr>
                    <w:t>0.769</w:t>
                  </w:r>
                </w:p>
              </w:tc>
              <w:tc>
                <w:tcPr>
                  <w:tcW w:w="799" w:type="dxa"/>
                </w:tcPr>
                <w:p w14:paraId="4BBBFFF7" w14:textId="77777777" w:rsidR="00E03612" w:rsidRPr="002E4D67" w:rsidRDefault="00E03612" w:rsidP="00E03612">
                  <w:pPr>
                    <w:pStyle w:val="Textkrper"/>
                    <w:rPr>
                      <w:rFonts w:cstheme="minorHAnsi"/>
                      <w:lang w:val="en-US"/>
                    </w:rPr>
                  </w:pPr>
                  <w:r w:rsidRPr="002E4D67">
                    <w:rPr>
                      <w:rFonts w:cstheme="minorHAnsi"/>
                      <w:lang w:val="en-US"/>
                    </w:rPr>
                    <w:t>9 m</w:t>
                  </w:r>
                </w:p>
              </w:tc>
              <w:tc>
                <w:tcPr>
                  <w:tcW w:w="851" w:type="dxa"/>
                </w:tcPr>
                <w:p w14:paraId="0657782E" w14:textId="77777777" w:rsidR="00E03612" w:rsidRPr="002E4D67" w:rsidRDefault="00E03612" w:rsidP="00E03612">
                  <w:pPr>
                    <w:pStyle w:val="Textkrper"/>
                    <w:rPr>
                      <w:rFonts w:cstheme="minorHAnsi"/>
                      <w:lang w:val="en-US"/>
                    </w:rPr>
                  </w:pPr>
                  <w:r w:rsidRPr="002E4D67">
                    <w:rPr>
                      <w:rFonts w:cstheme="minorHAnsi"/>
                      <w:lang w:val="en-US"/>
                    </w:rPr>
                    <w:t>12 m</w:t>
                  </w:r>
                </w:p>
              </w:tc>
              <w:tc>
                <w:tcPr>
                  <w:tcW w:w="1417" w:type="dxa"/>
                </w:tcPr>
                <w:p w14:paraId="64AA4132" w14:textId="77777777" w:rsidR="00E03612" w:rsidRPr="002E4D67" w:rsidRDefault="00E03612" w:rsidP="00E03612">
                  <w:pPr>
                    <w:pStyle w:val="Textkrper"/>
                    <w:rPr>
                      <w:rFonts w:cstheme="minorHAnsi"/>
                      <w:lang w:val="en-US"/>
                    </w:rPr>
                  </w:pPr>
                  <w:r w:rsidRPr="002E4D67">
                    <w:rPr>
                      <w:rFonts w:cstheme="minorHAnsi"/>
                      <w:lang w:val="en-US"/>
                    </w:rPr>
                    <w:t>Qualified investors / whitelist</w:t>
                  </w:r>
                </w:p>
              </w:tc>
            </w:tr>
            <w:tr w:rsidR="00E03612" w:rsidRPr="002E4D67" w14:paraId="00CB56B9" w14:textId="77777777" w:rsidTr="00D64090">
              <w:tc>
                <w:tcPr>
                  <w:tcW w:w="1160" w:type="dxa"/>
                </w:tcPr>
                <w:p w14:paraId="3147B7BE" w14:textId="77777777" w:rsidR="00E03612" w:rsidRPr="002E4D67" w:rsidRDefault="00E03612" w:rsidP="00E03612">
                  <w:pPr>
                    <w:pStyle w:val="Textkrper"/>
                    <w:rPr>
                      <w:rFonts w:cstheme="minorHAnsi"/>
                      <w:lang w:val="en-US"/>
                    </w:rPr>
                  </w:pPr>
                  <w:r w:rsidRPr="002E4D67">
                    <w:rPr>
                      <w:rFonts w:cstheme="minorHAnsi"/>
                      <w:lang w:val="en-US"/>
                    </w:rPr>
                    <w:t>Public Sale</w:t>
                  </w:r>
                </w:p>
              </w:tc>
              <w:tc>
                <w:tcPr>
                  <w:tcW w:w="993" w:type="dxa"/>
                </w:tcPr>
                <w:p w14:paraId="2760CA91" w14:textId="77777777" w:rsidR="00E03612" w:rsidRPr="002E4D67" w:rsidRDefault="00E03612" w:rsidP="00E03612">
                  <w:pPr>
                    <w:pStyle w:val="Textkrper"/>
                    <w:rPr>
                      <w:rFonts w:cstheme="minorHAnsi"/>
                      <w:lang w:val="en-US"/>
                    </w:rPr>
                  </w:pPr>
                  <w:r w:rsidRPr="002E4D67">
                    <w:rPr>
                      <w:rFonts w:cstheme="minorHAnsi"/>
                      <w:lang w:val="en-US"/>
                    </w:rPr>
                    <w:t>3,500,000 (3.5%)</w:t>
                  </w:r>
                </w:p>
              </w:tc>
              <w:tc>
                <w:tcPr>
                  <w:tcW w:w="952" w:type="dxa"/>
                </w:tcPr>
                <w:p w14:paraId="4747EEA6" w14:textId="49EF34F7" w:rsidR="00E03612" w:rsidRPr="002E4D67" w:rsidRDefault="007D5D6A" w:rsidP="00E03612">
                  <w:pPr>
                    <w:pStyle w:val="Textkrper"/>
                    <w:rPr>
                      <w:rFonts w:cstheme="minorHAnsi"/>
                      <w:lang w:val="en-US"/>
                    </w:rPr>
                  </w:pPr>
                  <w:r>
                    <w:rPr>
                      <w:rFonts w:cstheme="minorHAnsi"/>
                      <w:lang w:val="en-US"/>
                    </w:rPr>
                    <w:t>$</w:t>
                  </w:r>
                  <w:r w:rsidR="00E03612" w:rsidRPr="002E4D67">
                    <w:rPr>
                      <w:rFonts w:cstheme="minorHAnsi"/>
                      <w:lang w:val="en-US"/>
                    </w:rPr>
                    <w:t>1.00 (fixed)</w:t>
                  </w:r>
                </w:p>
              </w:tc>
              <w:tc>
                <w:tcPr>
                  <w:tcW w:w="799" w:type="dxa"/>
                </w:tcPr>
                <w:p w14:paraId="2D9B2535" w14:textId="77777777" w:rsidR="00E03612" w:rsidRPr="002E4D67" w:rsidRDefault="00E03612" w:rsidP="00E03612">
                  <w:pPr>
                    <w:pStyle w:val="Textkrper"/>
                    <w:rPr>
                      <w:rFonts w:cstheme="minorHAnsi"/>
                      <w:lang w:val="en-US"/>
                    </w:rPr>
                  </w:pPr>
                  <w:r w:rsidRPr="002E4D67">
                    <w:rPr>
                      <w:rFonts w:cstheme="minorHAnsi"/>
                      <w:lang w:val="en-US"/>
                    </w:rPr>
                    <w:t>0 m</w:t>
                  </w:r>
                </w:p>
              </w:tc>
              <w:tc>
                <w:tcPr>
                  <w:tcW w:w="851" w:type="dxa"/>
                </w:tcPr>
                <w:p w14:paraId="33EF1FFF" w14:textId="77777777" w:rsidR="00E03612" w:rsidRPr="002E4D67" w:rsidRDefault="00E03612" w:rsidP="00E03612">
                  <w:pPr>
                    <w:pStyle w:val="Textkrper"/>
                    <w:rPr>
                      <w:rFonts w:cstheme="minorHAnsi"/>
                      <w:lang w:val="en-US"/>
                    </w:rPr>
                  </w:pPr>
                  <w:r w:rsidRPr="002E4D67">
                    <w:rPr>
                      <w:rFonts w:cstheme="minorHAnsi"/>
                      <w:lang w:val="en-US"/>
                    </w:rPr>
                    <w:t>4 m</w:t>
                  </w:r>
                </w:p>
              </w:tc>
              <w:tc>
                <w:tcPr>
                  <w:tcW w:w="1417" w:type="dxa"/>
                </w:tcPr>
                <w:p w14:paraId="77AB46E2" w14:textId="77777777" w:rsidR="00E03612" w:rsidRPr="002E4D67" w:rsidRDefault="00E03612" w:rsidP="00E03612">
                  <w:pPr>
                    <w:pStyle w:val="Textkrper"/>
                    <w:rPr>
                      <w:rFonts w:cstheme="minorHAnsi"/>
                      <w:lang w:val="en-US"/>
                    </w:rPr>
                  </w:pPr>
                  <w:r w:rsidRPr="002E4D67">
                    <w:rPr>
                      <w:rFonts w:cstheme="minorHAnsi"/>
                      <w:lang w:val="en-US"/>
                    </w:rPr>
                    <w:t>Public offering to eligible retail purchasers</w:t>
                  </w:r>
                </w:p>
              </w:tc>
            </w:tr>
          </w:tbl>
          <w:p w14:paraId="2DFA664A" w14:textId="77777777" w:rsidR="00E03612" w:rsidRPr="002E4D67" w:rsidRDefault="00E03612" w:rsidP="00E03612">
            <w:pPr>
              <w:pStyle w:val="Textkrper"/>
              <w:rPr>
                <w:rFonts w:cstheme="minorHAnsi"/>
                <w:bCs/>
                <w:iCs/>
                <w:lang w:val="en-US"/>
              </w:rPr>
            </w:pPr>
          </w:p>
          <w:p w14:paraId="59D39C3F" w14:textId="77777777" w:rsidR="00E03612" w:rsidRPr="002E4D67" w:rsidRDefault="00E03612" w:rsidP="00E03612">
            <w:pPr>
              <w:pStyle w:val="Textkrper"/>
              <w:rPr>
                <w:bCs/>
                <w:iCs/>
                <w:lang w:val="en-US"/>
              </w:rPr>
            </w:pPr>
            <w:r w:rsidRPr="002E4D67">
              <w:rPr>
                <w:lang w:val="en-US"/>
              </w:rPr>
              <w:t>Indicative Timeline</w:t>
            </w:r>
          </w:p>
          <w:p w14:paraId="0CA0D21B" w14:textId="2A70FB15" w:rsidR="00E03612" w:rsidRPr="002E4D67" w:rsidRDefault="00E03612" w:rsidP="007D5D6A">
            <w:pPr>
              <w:pStyle w:val="Textkrper"/>
              <w:tabs>
                <w:tab w:val="left" w:pos="3574"/>
              </w:tabs>
              <w:jc w:val="left"/>
              <w:rPr>
                <w:bCs/>
                <w:iCs/>
                <w:lang w:val="en-US"/>
              </w:rPr>
            </w:pPr>
            <w:r w:rsidRPr="002E4D67">
              <w:rPr>
                <w:rFonts w:cstheme="minorHAnsi"/>
                <w:lang w:val="en-US"/>
              </w:rPr>
              <w:br/>
              <w:t>- Pre-Seed Phase</w:t>
            </w:r>
            <w:r w:rsidR="007D5D6A">
              <w:rPr>
                <w:rFonts w:cstheme="minorHAnsi"/>
                <w:lang w:val="en-US"/>
              </w:rPr>
              <w:tab/>
              <w:t>:</w:t>
            </w:r>
            <w:r w:rsidRPr="002E4D67">
              <w:rPr>
                <w:rFonts w:cstheme="minorHAnsi"/>
                <w:lang w:val="en-US"/>
              </w:rPr>
              <w:t xml:space="preserve"> Q4 2025 – Q1 2026</w:t>
            </w:r>
            <w:r w:rsidRPr="002E4D67">
              <w:rPr>
                <w:rFonts w:cstheme="minorHAnsi"/>
                <w:lang w:val="en-US"/>
              </w:rPr>
              <w:br/>
              <w:t>- Seed Phase</w:t>
            </w:r>
            <w:r w:rsidR="007D5D6A">
              <w:rPr>
                <w:rFonts w:cstheme="minorHAnsi"/>
                <w:lang w:val="en-US"/>
              </w:rPr>
              <w:tab/>
              <w:t xml:space="preserve">: </w:t>
            </w:r>
            <w:r w:rsidRPr="002E4D67">
              <w:rPr>
                <w:rFonts w:cstheme="minorHAnsi"/>
                <w:lang w:val="en-US"/>
              </w:rPr>
              <w:t>Q1 – Q2 2026</w:t>
            </w:r>
            <w:r w:rsidRPr="002E4D67">
              <w:rPr>
                <w:rFonts w:cstheme="minorHAnsi"/>
                <w:lang w:val="en-US"/>
              </w:rPr>
              <w:br/>
              <w:t>- Strategic Phase</w:t>
            </w:r>
            <w:r w:rsidR="007D5D6A">
              <w:rPr>
                <w:rFonts w:cstheme="minorHAnsi"/>
                <w:lang w:val="en-US"/>
              </w:rPr>
              <w:tab/>
            </w:r>
            <w:r w:rsidRPr="002E4D67">
              <w:rPr>
                <w:rFonts w:cstheme="minorHAnsi"/>
                <w:lang w:val="en-US"/>
              </w:rPr>
              <w:t>: Q2 – Q3 2026</w:t>
            </w:r>
            <w:r w:rsidRPr="002E4D67">
              <w:rPr>
                <w:rFonts w:cstheme="minorHAnsi"/>
                <w:lang w:val="en-US"/>
              </w:rPr>
              <w:br/>
              <w:t>- Pre-Public Phase</w:t>
            </w:r>
            <w:r w:rsidR="007D5D6A">
              <w:rPr>
                <w:rFonts w:cstheme="minorHAnsi"/>
                <w:lang w:val="en-US"/>
              </w:rPr>
              <w:tab/>
            </w:r>
            <w:r w:rsidRPr="002E4D67">
              <w:rPr>
                <w:rFonts w:cstheme="minorHAnsi"/>
                <w:lang w:val="en-US"/>
              </w:rPr>
              <w:t>: Q3 – Q4 2026</w:t>
            </w:r>
            <w:r w:rsidRPr="002E4D67">
              <w:rPr>
                <w:rFonts w:cstheme="minorHAnsi"/>
                <w:lang w:val="en-US"/>
              </w:rPr>
              <w:br/>
              <w:t>- Public Sale (Official Public Offering</w:t>
            </w:r>
            <w:r w:rsidR="007D5D6A">
              <w:rPr>
                <w:rFonts w:cstheme="minorHAnsi"/>
                <w:lang w:val="en-US"/>
              </w:rPr>
              <w:t>)</w:t>
            </w:r>
            <w:r w:rsidR="007D5D6A">
              <w:rPr>
                <w:rFonts w:cstheme="minorHAnsi"/>
                <w:lang w:val="en-US"/>
              </w:rPr>
              <w:tab/>
            </w:r>
            <w:r w:rsidRPr="002E4D67">
              <w:rPr>
                <w:rFonts w:cstheme="minorHAnsi"/>
                <w:lang w:val="en-US"/>
              </w:rPr>
              <w:t>: Q4 2025 – Q1 2027</w:t>
            </w:r>
            <w:r w:rsidRPr="002E4D67">
              <w:rPr>
                <w:rFonts w:cstheme="minorHAnsi"/>
                <w:lang w:val="en-US"/>
              </w:rPr>
              <w:br/>
            </w:r>
          </w:p>
        </w:tc>
      </w:tr>
      <w:tr w:rsidR="00E03612" w:rsidRPr="002E4D67" w14:paraId="00346AC2" w14:textId="77777777" w:rsidTr="00D64090">
        <w:tc>
          <w:tcPr>
            <w:tcW w:w="1985" w:type="dxa"/>
          </w:tcPr>
          <w:p w14:paraId="2C973B0C" w14:textId="01EFEE57" w:rsidR="00E03612" w:rsidRPr="002E4D67" w:rsidRDefault="00E03612" w:rsidP="00E03612">
            <w:pPr>
              <w:pStyle w:val="berschrift1"/>
              <w:keepNext w:val="0"/>
              <w:keepLines w:val="0"/>
              <w:rPr>
                <w:lang w:val="en-US"/>
              </w:rPr>
            </w:pPr>
            <w:bookmarkStart w:id="240" w:name="_Toc212017907"/>
            <w:bookmarkStart w:id="241" w:name="_Toc213164179"/>
            <w:bookmarkStart w:id="242" w:name="_Toc213179162"/>
            <w:r w:rsidRPr="002E4D67">
              <w:rPr>
                <w:lang w:val="en-US"/>
              </w:rPr>
              <w:lastRenderedPageBreak/>
              <w:t>E.19 Early purchase discount</w:t>
            </w:r>
            <w:bookmarkEnd w:id="240"/>
            <w:bookmarkEnd w:id="241"/>
            <w:bookmarkEnd w:id="242"/>
          </w:p>
        </w:tc>
        <w:tc>
          <w:tcPr>
            <w:tcW w:w="6371" w:type="dxa"/>
          </w:tcPr>
          <w:p w14:paraId="5DBDEC9E" w14:textId="77777777" w:rsidR="00E03612" w:rsidRPr="002E4D67" w:rsidRDefault="00E03612" w:rsidP="00E03612">
            <w:pPr>
              <w:pStyle w:val="Textkrper"/>
              <w:rPr>
                <w:rFonts w:cstheme="minorHAnsi"/>
                <w:lang w:val="en-US"/>
              </w:rPr>
            </w:pPr>
            <w:r w:rsidRPr="002E4D67">
              <w:rPr>
                <w:rFonts w:cstheme="minorHAnsi"/>
                <w:lang w:val="en-US"/>
              </w:rPr>
              <w:t xml:space="preserve">Earlier phases of the $WYND Utility Token offering (Pre-Seed, Seed, Strategic, and Pre-Public) were conducted at </w:t>
            </w:r>
            <w:r w:rsidRPr="002E4D67">
              <w:rPr>
                <w:rStyle w:val="Fett"/>
                <w:rFonts w:cstheme="minorHAnsi"/>
                <w:lang w:val="en-US"/>
              </w:rPr>
              <w:t>discounted prices</w:t>
            </w:r>
            <w:r w:rsidRPr="002E4D67">
              <w:rPr>
                <w:rFonts w:cstheme="minorHAnsi"/>
                <w:lang w:val="en-US"/>
              </w:rPr>
              <w:t xml:space="preserve"> compared to the final public sale price of </w:t>
            </w:r>
            <w:r w:rsidRPr="002E4D67">
              <w:rPr>
                <w:rStyle w:val="Fett"/>
                <w:rFonts w:cstheme="minorHAnsi"/>
                <w:lang w:val="en-US"/>
              </w:rPr>
              <w:t>USD 1.00 per token</w:t>
            </w:r>
            <w:r w:rsidRPr="002E4D67">
              <w:rPr>
                <w:rFonts w:cstheme="minorHAnsi"/>
                <w:lang w:val="en-US"/>
              </w:rPr>
              <w:t>.</w:t>
            </w:r>
          </w:p>
          <w:p w14:paraId="5A2B5FC9" w14:textId="77777777" w:rsidR="00E03612" w:rsidRPr="002E4D67" w:rsidRDefault="00E03612" w:rsidP="00E03612">
            <w:pPr>
              <w:pStyle w:val="Textkrper"/>
              <w:rPr>
                <w:rFonts w:cstheme="minorHAnsi"/>
                <w:lang w:val="en-US"/>
              </w:rPr>
            </w:pPr>
          </w:p>
          <w:tbl>
            <w:tblPr>
              <w:tblW w:w="6225"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77"/>
              <w:gridCol w:w="709"/>
              <w:gridCol w:w="709"/>
              <w:gridCol w:w="1020"/>
              <w:gridCol w:w="800"/>
              <w:gridCol w:w="824"/>
              <w:gridCol w:w="1286"/>
            </w:tblGrid>
            <w:tr w:rsidR="00967BAA" w:rsidRPr="002E4D67" w14:paraId="297286C3" w14:textId="77777777" w:rsidTr="00967BAA">
              <w:trPr>
                <w:tblHeader/>
                <w:tblCellSpacing w:w="15" w:type="dxa"/>
              </w:trPr>
              <w:tc>
                <w:tcPr>
                  <w:tcW w:w="83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4D067B8F" w14:textId="77777777" w:rsidR="00E03612" w:rsidRPr="002E4D67" w:rsidRDefault="00E03612" w:rsidP="00E03612">
                  <w:pPr>
                    <w:pStyle w:val="Textkrper"/>
                    <w:rPr>
                      <w:rFonts w:cstheme="minorHAnsi"/>
                      <w:lang w:val="en-US"/>
                    </w:rPr>
                  </w:pPr>
                  <w:r w:rsidRPr="002E4D67">
                    <w:rPr>
                      <w:rStyle w:val="Fett"/>
                      <w:rFonts w:cstheme="minorHAnsi"/>
                      <w:lang w:val="en-US"/>
                    </w:rPr>
                    <w:lastRenderedPageBreak/>
                    <w:t>Round / Investor Group</w:t>
                  </w:r>
                </w:p>
              </w:tc>
              <w:tc>
                <w:tcPr>
                  <w:tcW w:w="679"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0CBEF91D" w14:textId="77777777" w:rsidR="00E03612" w:rsidRPr="002E4D67" w:rsidRDefault="00E03612" w:rsidP="00E03612">
                  <w:pPr>
                    <w:pStyle w:val="Textkrper"/>
                    <w:rPr>
                      <w:rFonts w:cstheme="minorHAnsi"/>
                      <w:lang w:val="en-US"/>
                    </w:rPr>
                  </w:pPr>
                  <w:r w:rsidRPr="002E4D67">
                    <w:rPr>
                      <w:rStyle w:val="Fett"/>
                      <w:rFonts w:cstheme="minorHAnsi"/>
                      <w:lang w:val="en-US"/>
                    </w:rPr>
                    <w:t>Cliff (months)</w:t>
                  </w:r>
                </w:p>
              </w:tc>
              <w:tc>
                <w:tcPr>
                  <w:tcW w:w="679"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1567910C" w14:textId="77777777" w:rsidR="00E03612" w:rsidRPr="002E4D67" w:rsidRDefault="00E03612" w:rsidP="00E03612">
                  <w:pPr>
                    <w:pStyle w:val="Textkrper"/>
                    <w:rPr>
                      <w:rFonts w:cstheme="minorHAnsi"/>
                      <w:lang w:val="en-US"/>
                    </w:rPr>
                  </w:pPr>
                  <w:r w:rsidRPr="002E4D67">
                    <w:rPr>
                      <w:rStyle w:val="Fett"/>
                      <w:rFonts w:cstheme="minorHAnsi"/>
                      <w:lang w:val="en-US"/>
                    </w:rPr>
                    <w:t>Vesting (months)</w:t>
                  </w:r>
                </w:p>
              </w:tc>
              <w:tc>
                <w:tcPr>
                  <w:tcW w:w="99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41344616" w14:textId="77777777" w:rsidR="00E03612" w:rsidRPr="002E4D67" w:rsidRDefault="00E03612" w:rsidP="00E03612">
                  <w:pPr>
                    <w:pStyle w:val="Textkrper"/>
                    <w:rPr>
                      <w:rFonts w:cstheme="minorHAnsi"/>
                      <w:lang w:val="en-US"/>
                    </w:rPr>
                  </w:pPr>
                  <w:r w:rsidRPr="002E4D67">
                    <w:rPr>
                      <w:rStyle w:val="Fett"/>
                      <w:rFonts w:cstheme="minorHAnsi"/>
                      <w:lang w:val="en-US"/>
                    </w:rPr>
                    <w:t># Tokens</w:t>
                  </w:r>
                </w:p>
              </w:tc>
              <w:tc>
                <w:tcPr>
                  <w:tcW w:w="77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0D7193D6" w14:textId="77777777" w:rsidR="00E03612" w:rsidRPr="002E4D67" w:rsidRDefault="00E03612" w:rsidP="00E03612">
                  <w:pPr>
                    <w:pStyle w:val="Textkrper"/>
                    <w:rPr>
                      <w:rFonts w:cstheme="minorHAnsi"/>
                      <w:lang w:val="en-US"/>
                    </w:rPr>
                  </w:pPr>
                  <w:r w:rsidRPr="002E4D67">
                    <w:rPr>
                      <w:rStyle w:val="Fett"/>
                      <w:rFonts w:cstheme="minorHAnsi"/>
                      <w:lang w:val="en-US"/>
                    </w:rPr>
                    <w:t>% of Total Supply</w:t>
                  </w:r>
                </w:p>
              </w:tc>
              <w:tc>
                <w:tcPr>
                  <w:tcW w:w="794"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5941240D" w14:textId="77777777" w:rsidR="00E03612" w:rsidRPr="002E4D67" w:rsidRDefault="00E03612" w:rsidP="00E03612">
                  <w:pPr>
                    <w:pStyle w:val="Textkrper"/>
                    <w:rPr>
                      <w:rFonts w:cstheme="minorHAnsi"/>
                      <w:lang w:val="en-US"/>
                    </w:rPr>
                  </w:pPr>
                  <w:r w:rsidRPr="002E4D67">
                    <w:rPr>
                      <w:rStyle w:val="Fett"/>
                      <w:rFonts w:cstheme="minorHAnsi"/>
                      <w:lang w:val="en-US"/>
                    </w:rPr>
                    <w:t>Price (USD)</w:t>
                  </w:r>
                </w:p>
              </w:tc>
              <w:tc>
                <w:tcPr>
                  <w:tcW w:w="12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3310E01D" w14:textId="77777777" w:rsidR="00E03612" w:rsidRPr="002E4D67" w:rsidRDefault="00E03612" w:rsidP="00E03612">
                  <w:pPr>
                    <w:pStyle w:val="Textkrper"/>
                    <w:rPr>
                      <w:rFonts w:cstheme="minorHAnsi"/>
                      <w:lang w:val="en-US"/>
                    </w:rPr>
                  </w:pPr>
                  <w:r w:rsidRPr="002E4D67">
                    <w:rPr>
                      <w:rStyle w:val="Fett"/>
                      <w:rFonts w:cstheme="minorHAnsi"/>
                      <w:lang w:val="en-US"/>
                    </w:rPr>
                    <w:t>Description</w:t>
                  </w:r>
                </w:p>
              </w:tc>
            </w:tr>
            <w:tr w:rsidR="00967BAA" w:rsidRPr="002E4D67" w14:paraId="6DBAB022" w14:textId="77777777" w:rsidTr="00967BAA">
              <w:trPr>
                <w:tblCellSpacing w:w="15" w:type="dxa"/>
              </w:trPr>
              <w:tc>
                <w:tcPr>
                  <w:tcW w:w="83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29A8B298" w14:textId="77777777" w:rsidR="00E03612" w:rsidRPr="002E4D67" w:rsidRDefault="00E03612" w:rsidP="00E03612">
                  <w:pPr>
                    <w:pStyle w:val="Textkrper"/>
                    <w:rPr>
                      <w:rFonts w:cstheme="minorHAnsi"/>
                      <w:lang w:val="en-US"/>
                    </w:rPr>
                  </w:pPr>
                  <w:r w:rsidRPr="002E4D67">
                    <w:rPr>
                      <w:rFonts w:cstheme="minorHAnsi"/>
                      <w:lang w:val="en-US"/>
                    </w:rPr>
                    <w:t>Pre-Seed</w:t>
                  </w:r>
                </w:p>
              </w:tc>
              <w:tc>
                <w:tcPr>
                  <w:tcW w:w="679"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47D83D32" w14:textId="77777777" w:rsidR="00E03612" w:rsidRPr="002E4D67" w:rsidRDefault="00E03612" w:rsidP="00E03612">
                  <w:pPr>
                    <w:pStyle w:val="Textkrper"/>
                    <w:rPr>
                      <w:rFonts w:cstheme="minorHAnsi"/>
                      <w:lang w:val="en-US"/>
                    </w:rPr>
                  </w:pPr>
                  <w:r w:rsidRPr="002E4D67">
                    <w:rPr>
                      <w:rFonts w:cstheme="minorHAnsi"/>
                      <w:lang w:val="en-US"/>
                    </w:rPr>
                    <w:t>12</w:t>
                  </w:r>
                </w:p>
              </w:tc>
              <w:tc>
                <w:tcPr>
                  <w:tcW w:w="679"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4DB0880C" w14:textId="77777777" w:rsidR="00E03612" w:rsidRPr="002E4D67" w:rsidRDefault="00E03612" w:rsidP="00E03612">
                  <w:pPr>
                    <w:pStyle w:val="Textkrper"/>
                    <w:rPr>
                      <w:rFonts w:cstheme="minorHAnsi"/>
                      <w:lang w:val="en-US"/>
                    </w:rPr>
                  </w:pPr>
                  <w:r w:rsidRPr="002E4D67">
                    <w:rPr>
                      <w:rFonts w:cstheme="minorHAnsi"/>
                      <w:lang w:val="en-US"/>
                    </w:rPr>
                    <w:t>18</w:t>
                  </w:r>
                </w:p>
              </w:tc>
              <w:tc>
                <w:tcPr>
                  <w:tcW w:w="99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086008E2" w14:textId="77777777" w:rsidR="00E03612" w:rsidRPr="002E4D67" w:rsidRDefault="00E03612" w:rsidP="00E03612">
                  <w:pPr>
                    <w:pStyle w:val="Textkrper"/>
                    <w:rPr>
                      <w:rFonts w:cstheme="minorHAnsi"/>
                      <w:lang w:val="en-US"/>
                    </w:rPr>
                  </w:pPr>
                  <w:r w:rsidRPr="002E4D67">
                    <w:rPr>
                      <w:rFonts w:cstheme="minorHAnsi"/>
                      <w:lang w:val="en-US"/>
                    </w:rPr>
                    <w:t>1,500,000</w:t>
                  </w:r>
                </w:p>
              </w:tc>
              <w:tc>
                <w:tcPr>
                  <w:tcW w:w="77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67417561" w14:textId="77777777" w:rsidR="00E03612" w:rsidRPr="002E4D67" w:rsidRDefault="00E03612" w:rsidP="00E03612">
                  <w:pPr>
                    <w:pStyle w:val="Textkrper"/>
                    <w:rPr>
                      <w:rFonts w:cstheme="minorHAnsi"/>
                      <w:lang w:val="en-US"/>
                    </w:rPr>
                  </w:pPr>
                  <w:r w:rsidRPr="002E4D67">
                    <w:rPr>
                      <w:rFonts w:cstheme="minorHAnsi"/>
                      <w:lang w:val="en-US"/>
                    </w:rPr>
                    <w:t>1.5 %</w:t>
                  </w:r>
                </w:p>
              </w:tc>
              <w:tc>
                <w:tcPr>
                  <w:tcW w:w="794"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5540FBAE" w14:textId="7A9FC555" w:rsidR="00E03612" w:rsidRPr="002E4D67" w:rsidRDefault="00967BAA" w:rsidP="00E03612">
                  <w:pPr>
                    <w:pStyle w:val="Textkrper"/>
                    <w:rPr>
                      <w:rFonts w:cstheme="minorHAnsi"/>
                      <w:lang w:val="en-US"/>
                    </w:rPr>
                  </w:pPr>
                  <w:r>
                    <w:rPr>
                      <w:rFonts w:cstheme="minorHAnsi"/>
                      <w:lang w:val="en-US"/>
                    </w:rPr>
                    <w:t>$</w:t>
                  </w:r>
                  <w:r w:rsidR="00E03612" w:rsidRPr="002E4D67">
                    <w:rPr>
                      <w:rFonts w:cstheme="minorHAnsi"/>
                      <w:lang w:val="en-US"/>
                    </w:rPr>
                    <w:t>0.35</w:t>
                  </w:r>
                </w:p>
              </w:tc>
              <w:tc>
                <w:tcPr>
                  <w:tcW w:w="12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39041C33" w14:textId="77777777" w:rsidR="00E03612" w:rsidRPr="002E4D67" w:rsidRDefault="00E03612" w:rsidP="00E03612">
                  <w:pPr>
                    <w:pStyle w:val="Textkrper"/>
                    <w:rPr>
                      <w:rFonts w:cstheme="minorHAnsi"/>
                      <w:lang w:val="en-US"/>
                    </w:rPr>
                  </w:pPr>
                  <w:r w:rsidRPr="002E4D67">
                    <w:rPr>
                      <w:rFonts w:cstheme="minorHAnsi"/>
                      <w:lang w:val="en-US"/>
                    </w:rPr>
                    <w:t>Early strategic contributors and technical supporters</w:t>
                  </w:r>
                </w:p>
              </w:tc>
            </w:tr>
            <w:tr w:rsidR="00967BAA" w:rsidRPr="002E4D67" w14:paraId="5BE5F7FF" w14:textId="77777777" w:rsidTr="00967BAA">
              <w:trPr>
                <w:tblCellSpacing w:w="15" w:type="dxa"/>
              </w:trPr>
              <w:tc>
                <w:tcPr>
                  <w:tcW w:w="83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2E03FFDD" w14:textId="77777777" w:rsidR="00E03612" w:rsidRPr="002E4D67" w:rsidRDefault="00E03612" w:rsidP="00E03612">
                  <w:pPr>
                    <w:pStyle w:val="Textkrper"/>
                    <w:rPr>
                      <w:rFonts w:cstheme="minorHAnsi"/>
                      <w:lang w:val="en-US"/>
                    </w:rPr>
                  </w:pPr>
                  <w:r w:rsidRPr="002E4D67">
                    <w:rPr>
                      <w:rFonts w:cstheme="minorHAnsi"/>
                      <w:lang w:val="en-US"/>
                    </w:rPr>
                    <w:t>Seed</w:t>
                  </w:r>
                </w:p>
              </w:tc>
              <w:tc>
                <w:tcPr>
                  <w:tcW w:w="679"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6A7B9055" w14:textId="77777777" w:rsidR="00E03612" w:rsidRPr="002E4D67" w:rsidRDefault="00E03612" w:rsidP="00E03612">
                  <w:pPr>
                    <w:pStyle w:val="Textkrper"/>
                    <w:rPr>
                      <w:rFonts w:cstheme="minorHAnsi"/>
                      <w:lang w:val="en-US"/>
                    </w:rPr>
                  </w:pPr>
                  <w:r w:rsidRPr="002E4D67">
                    <w:rPr>
                      <w:rFonts w:cstheme="minorHAnsi"/>
                      <w:lang w:val="en-US"/>
                    </w:rPr>
                    <w:t>12</w:t>
                  </w:r>
                </w:p>
              </w:tc>
              <w:tc>
                <w:tcPr>
                  <w:tcW w:w="679"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215CFEEC" w14:textId="77777777" w:rsidR="00E03612" w:rsidRPr="002E4D67" w:rsidRDefault="00E03612" w:rsidP="00E03612">
                  <w:pPr>
                    <w:pStyle w:val="Textkrper"/>
                    <w:rPr>
                      <w:rFonts w:cstheme="minorHAnsi"/>
                      <w:lang w:val="en-US"/>
                    </w:rPr>
                  </w:pPr>
                  <w:r w:rsidRPr="002E4D67">
                    <w:rPr>
                      <w:rFonts w:cstheme="minorHAnsi"/>
                      <w:lang w:val="en-US"/>
                    </w:rPr>
                    <w:t>18</w:t>
                  </w:r>
                </w:p>
              </w:tc>
              <w:tc>
                <w:tcPr>
                  <w:tcW w:w="99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07AC68BF" w14:textId="77777777" w:rsidR="00E03612" w:rsidRPr="002E4D67" w:rsidRDefault="00E03612" w:rsidP="00E03612">
                  <w:pPr>
                    <w:pStyle w:val="Textkrper"/>
                    <w:rPr>
                      <w:rFonts w:cstheme="minorHAnsi"/>
                      <w:lang w:val="en-US"/>
                    </w:rPr>
                  </w:pPr>
                  <w:r w:rsidRPr="002E4D67">
                    <w:rPr>
                      <w:rFonts w:cstheme="minorHAnsi"/>
                      <w:lang w:val="en-US"/>
                    </w:rPr>
                    <w:t>3,000,000</w:t>
                  </w:r>
                </w:p>
              </w:tc>
              <w:tc>
                <w:tcPr>
                  <w:tcW w:w="77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7C3B2606" w14:textId="77777777" w:rsidR="00E03612" w:rsidRPr="002E4D67" w:rsidRDefault="00E03612" w:rsidP="00E03612">
                  <w:pPr>
                    <w:pStyle w:val="Textkrper"/>
                    <w:rPr>
                      <w:rFonts w:cstheme="minorHAnsi"/>
                      <w:lang w:val="en-US"/>
                    </w:rPr>
                  </w:pPr>
                  <w:r w:rsidRPr="002E4D67">
                    <w:rPr>
                      <w:rFonts w:cstheme="minorHAnsi"/>
                      <w:lang w:val="en-US"/>
                    </w:rPr>
                    <w:t>3.0 %</w:t>
                  </w:r>
                </w:p>
              </w:tc>
              <w:tc>
                <w:tcPr>
                  <w:tcW w:w="794"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042EAEB1" w14:textId="5E623DBF" w:rsidR="00E03612" w:rsidRPr="002E4D67" w:rsidRDefault="00967BAA" w:rsidP="00E03612">
                  <w:pPr>
                    <w:pStyle w:val="Textkrper"/>
                    <w:rPr>
                      <w:rFonts w:cstheme="minorHAnsi"/>
                      <w:lang w:val="en-US"/>
                    </w:rPr>
                  </w:pPr>
                  <w:r>
                    <w:rPr>
                      <w:rFonts w:cstheme="minorHAnsi"/>
                      <w:lang w:val="en-US"/>
                    </w:rPr>
                    <w:t>$</w:t>
                  </w:r>
                  <w:r w:rsidR="00E03612" w:rsidRPr="002E4D67">
                    <w:rPr>
                      <w:rFonts w:cstheme="minorHAnsi"/>
                      <w:lang w:val="en-US"/>
                    </w:rPr>
                    <w:t>0.455</w:t>
                  </w:r>
                </w:p>
              </w:tc>
              <w:tc>
                <w:tcPr>
                  <w:tcW w:w="12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0DF06F2E" w14:textId="77777777" w:rsidR="00E03612" w:rsidRPr="002E4D67" w:rsidRDefault="00E03612" w:rsidP="00E03612">
                  <w:pPr>
                    <w:pStyle w:val="Textkrper"/>
                    <w:rPr>
                      <w:rFonts w:cstheme="minorHAnsi"/>
                      <w:lang w:val="en-US"/>
                    </w:rPr>
                  </w:pPr>
                  <w:r w:rsidRPr="002E4D67">
                    <w:rPr>
                      <w:rFonts w:cstheme="minorHAnsi"/>
                      <w:lang w:val="en-US"/>
                    </w:rPr>
                    <w:t>Early investors and key partners</w:t>
                  </w:r>
                </w:p>
              </w:tc>
            </w:tr>
            <w:tr w:rsidR="00967BAA" w:rsidRPr="002E4D67" w14:paraId="11D1AD0B" w14:textId="77777777" w:rsidTr="00967BAA">
              <w:trPr>
                <w:tblCellSpacing w:w="15" w:type="dxa"/>
              </w:trPr>
              <w:tc>
                <w:tcPr>
                  <w:tcW w:w="83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2067EBFF" w14:textId="77777777" w:rsidR="00E03612" w:rsidRPr="002E4D67" w:rsidRDefault="00E03612" w:rsidP="00E03612">
                  <w:pPr>
                    <w:pStyle w:val="Textkrper"/>
                    <w:rPr>
                      <w:rFonts w:cstheme="minorHAnsi"/>
                      <w:lang w:val="en-US"/>
                    </w:rPr>
                  </w:pPr>
                  <w:r w:rsidRPr="002E4D67">
                    <w:rPr>
                      <w:rFonts w:cstheme="minorHAnsi"/>
                      <w:lang w:val="en-US"/>
                    </w:rPr>
                    <w:t>Strategic</w:t>
                  </w:r>
                </w:p>
              </w:tc>
              <w:tc>
                <w:tcPr>
                  <w:tcW w:w="679"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4DD560DD" w14:textId="77777777" w:rsidR="00E03612" w:rsidRPr="002E4D67" w:rsidRDefault="00E03612" w:rsidP="00E03612">
                  <w:pPr>
                    <w:pStyle w:val="Textkrper"/>
                    <w:rPr>
                      <w:rFonts w:cstheme="minorHAnsi"/>
                      <w:lang w:val="en-US"/>
                    </w:rPr>
                  </w:pPr>
                  <w:r w:rsidRPr="002E4D67">
                    <w:rPr>
                      <w:rFonts w:cstheme="minorHAnsi"/>
                      <w:lang w:val="en-US"/>
                    </w:rPr>
                    <w:t>9</w:t>
                  </w:r>
                </w:p>
              </w:tc>
              <w:tc>
                <w:tcPr>
                  <w:tcW w:w="679"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0DF1E637" w14:textId="77777777" w:rsidR="00E03612" w:rsidRPr="002E4D67" w:rsidRDefault="00E03612" w:rsidP="00E03612">
                  <w:pPr>
                    <w:pStyle w:val="Textkrper"/>
                    <w:rPr>
                      <w:rFonts w:cstheme="minorHAnsi"/>
                      <w:lang w:val="en-US"/>
                    </w:rPr>
                  </w:pPr>
                  <w:r w:rsidRPr="002E4D67">
                    <w:rPr>
                      <w:rFonts w:cstheme="minorHAnsi"/>
                      <w:lang w:val="en-US"/>
                    </w:rPr>
                    <w:t>12</w:t>
                  </w:r>
                </w:p>
              </w:tc>
              <w:tc>
                <w:tcPr>
                  <w:tcW w:w="99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14197CFD" w14:textId="77777777" w:rsidR="00E03612" w:rsidRPr="002E4D67" w:rsidRDefault="00E03612" w:rsidP="00E03612">
                  <w:pPr>
                    <w:pStyle w:val="Textkrper"/>
                    <w:rPr>
                      <w:rFonts w:cstheme="minorHAnsi"/>
                      <w:lang w:val="en-US"/>
                    </w:rPr>
                  </w:pPr>
                  <w:r w:rsidRPr="002E4D67">
                    <w:rPr>
                      <w:rFonts w:cstheme="minorHAnsi"/>
                      <w:lang w:val="en-US"/>
                    </w:rPr>
                    <w:t>4,000,000</w:t>
                  </w:r>
                </w:p>
              </w:tc>
              <w:tc>
                <w:tcPr>
                  <w:tcW w:w="77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30DCA172" w14:textId="77777777" w:rsidR="00E03612" w:rsidRPr="002E4D67" w:rsidRDefault="00E03612" w:rsidP="00E03612">
                  <w:pPr>
                    <w:pStyle w:val="Textkrper"/>
                    <w:rPr>
                      <w:rFonts w:cstheme="minorHAnsi"/>
                      <w:lang w:val="en-US"/>
                    </w:rPr>
                  </w:pPr>
                  <w:r w:rsidRPr="002E4D67">
                    <w:rPr>
                      <w:rFonts w:cstheme="minorHAnsi"/>
                      <w:lang w:val="en-US"/>
                    </w:rPr>
                    <w:t>4.0 %</w:t>
                  </w:r>
                </w:p>
              </w:tc>
              <w:tc>
                <w:tcPr>
                  <w:tcW w:w="794"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1B2A5A59" w14:textId="79E7A991" w:rsidR="00E03612" w:rsidRPr="002E4D67" w:rsidRDefault="00967BAA" w:rsidP="00E03612">
                  <w:pPr>
                    <w:pStyle w:val="Textkrper"/>
                    <w:rPr>
                      <w:rFonts w:cstheme="minorHAnsi"/>
                      <w:lang w:val="en-US"/>
                    </w:rPr>
                  </w:pPr>
                  <w:r>
                    <w:rPr>
                      <w:rFonts w:cstheme="minorHAnsi"/>
                      <w:lang w:val="en-US"/>
                    </w:rPr>
                    <w:t>$</w:t>
                  </w:r>
                  <w:r w:rsidR="00E03612" w:rsidRPr="002E4D67">
                    <w:rPr>
                      <w:rFonts w:cstheme="minorHAnsi"/>
                      <w:lang w:val="en-US"/>
                    </w:rPr>
                    <w:t>0.592</w:t>
                  </w:r>
                </w:p>
              </w:tc>
              <w:tc>
                <w:tcPr>
                  <w:tcW w:w="12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42D8CA32" w14:textId="77777777" w:rsidR="00E03612" w:rsidRPr="002E4D67" w:rsidRDefault="00E03612" w:rsidP="00E03612">
                  <w:pPr>
                    <w:pStyle w:val="Textkrper"/>
                    <w:rPr>
                      <w:rFonts w:cstheme="minorHAnsi"/>
                      <w:lang w:val="en-US"/>
                    </w:rPr>
                  </w:pPr>
                  <w:r w:rsidRPr="002E4D67">
                    <w:rPr>
                      <w:rFonts w:cstheme="minorHAnsi"/>
                      <w:lang w:val="en-US"/>
                    </w:rPr>
                    <w:t>Institutional and network investors</w:t>
                  </w:r>
                </w:p>
              </w:tc>
            </w:tr>
            <w:tr w:rsidR="00967BAA" w:rsidRPr="002E4D67" w14:paraId="71142366" w14:textId="77777777" w:rsidTr="00967BAA">
              <w:trPr>
                <w:tblCellSpacing w:w="15" w:type="dxa"/>
              </w:trPr>
              <w:tc>
                <w:tcPr>
                  <w:tcW w:w="83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33E84069" w14:textId="77777777" w:rsidR="00E03612" w:rsidRPr="002E4D67" w:rsidRDefault="00E03612" w:rsidP="00E03612">
                  <w:pPr>
                    <w:pStyle w:val="Textkrper"/>
                    <w:rPr>
                      <w:rFonts w:cstheme="minorHAnsi"/>
                      <w:lang w:val="en-US"/>
                    </w:rPr>
                  </w:pPr>
                  <w:r w:rsidRPr="002E4D67">
                    <w:rPr>
                      <w:rFonts w:cstheme="minorHAnsi"/>
                      <w:lang w:val="en-US"/>
                    </w:rPr>
                    <w:t>Pre-Public Sale</w:t>
                  </w:r>
                </w:p>
              </w:tc>
              <w:tc>
                <w:tcPr>
                  <w:tcW w:w="679"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6FFBC592" w14:textId="77777777" w:rsidR="00E03612" w:rsidRPr="002E4D67" w:rsidRDefault="00E03612" w:rsidP="00E03612">
                  <w:pPr>
                    <w:pStyle w:val="Textkrper"/>
                    <w:rPr>
                      <w:rFonts w:cstheme="minorHAnsi"/>
                      <w:lang w:val="en-US"/>
                    </w:rPr>
                  </w:pPr>
                  <w:r w:rsidRPr="002E4D67">
                    <w:rPr>
                      <w:rFonts w:cstheme="minorHAnsi"/>
                      <w:lang w:val="en-US"/>
                    </w:rPr>
                    <w:t>9</w:t>
                  </w:r>
                </w:p>
              </w:tc>
              <w:tc>
                <w:tcPr>
                  <w:tcW w:w="679"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28D7728B" w14:textId="77777777" w:rsidR="00E03612" w:rsidRPr="002E4D67" w:rsidRDefault="00E03612" w:rsidP="00E03612">
                  <w:pPr>
                    <w:pStyle w:val="Textkrper"/>
                    <w:rPr>
                      <w:rFonts w:cstheme="minorHAnsi"/>
                      <w:lang w:val="en-US"/>
                    </w:rPr>
                  </w:pPr>
                  <w:r w:rsidRPr="002E4D67">
                    <w:rPr>
                      <w:rFonts w:cstheme="minorHAnsi"/>
                      <w:lang w:val="en-US"/>
                    </w:rPr>
                    <w:t>12</w:t>
                  </w:r>
                </w:p>
              </w:tc>
              <w:tc>
                <w:tcPr>
                  <w:tcW w:w="99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6C5205C0" w14:textId="77777777" w:rsidR="00E03612" w:rsidRPr="002E4D67" w:rsidRDefault="00E03612" w:rsidP="00E03612">
                  <w:pPr>
                    <w:pStyle w:val="Textkrper"/>
                    <w:rPr>
                      <w:rFonts w:cstheme="minorHAnsi"/>
                      <w:lang w:val="en-US"/>
                    </w:rPr>
                  </w:pPr>
                  <w:r w:rsidRPr="002E4D67">
                    <w:rPr>
                      <w:rFonts w:cstheme="minorHAnsi"/>
                      <w:lang w:val="en-US"/>
                    </w:rPr>
                    <w:t>4,000,000</w:t>
                  </w:r>
                </w:p>
              </w:tc>
              <w:tc>
                <w:tcPr>
                  <w:tcW w:w="77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21B38CFD" w14:textId="77777777" w:rsidR="00E03612" w:rsidRPr="002E4D67" w:rsidRDefault="00E03612" w:rsidP="00E03612">
                  <w:pPr>
                    <w:pStyle w:val="Textkrper"/>
                    <w:rPr>
                      <w:rFonts w:cstheme="minorHAnsi"/>
                      <w:lang w:val="en-US"/>
                    </w:rPr>
                  </w:pPr>
                  <w:r w:rsidRPr="002E4D67">
                    <w:rPr>
                      <w:rFonts w:cstheme="minorHAnsi"/>
                      <w:lang w:val="en-US"/>
                    </w:rPr>
                    <w:t>4.0 %</w:t>
                  </w:r>
                </w:p>
              </w:tc>
              <w:tc>
                <w:tcPr>
                  <w:tcW w:w="794"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00349184" w14:textId="47611011" w:rsidR="00E03612" w:rsidRPr="002E4D67" w:rsidRDefault="00967BAA" w:rsidP="00E03612">
                  <w:pPr>
                    <w:pStyle w:val="Textkrper"/>
                    <w:rPr>
                      <w:rFonts w:cstheme="minorHAnsi"/>
                      <w:lang w:val="en-US"/>
                    </w:rPr>
                  </w:pPr>
                  <w:r>
                    <w:rPr>
                      <w:rFonts w:cstheme="minorHAnsi"/>
                      <w:lang w:val="en-US"/>
                    </w:rPr>
                    <w:t>$</w:t>
                  </w:r>
                  <w:r w:rsidR="00E03612" w:rsidRPr="002E4D67">
                    <w:rPr>
                      <w:rFonts w:cstheme="minorHAnsi"/>
                      <w:lang w:val="en-US"/>
                    </w:rPr>
                    <w:t>0.769</w:t>
                  </w:r>
                </w:p>
              </w:tc>
              <w:tc>
                <w:tcPr>
                  <w:tcW w:w="12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7BBF32FE" w14:textId="77777777" w:rsidR="00E03612" w:rsidRPr="002E4D67" w:rsidRDefault="00E03612" w:rsidP="00E03612">
                  <w:pPr>
                    <w:pStyle w:val="Textkrper"/>
                    <w:rPr>
                      <w:rFonts w:cstheme="minorHAnsi"/>
                      <w:lang w:val="en-US"/>
                    </w:rPr>
                  </w:pPr>
                  <w:r w:rsidRPr="002E4D67">
                    <w:rPr>
                      <w:rFonts w:cstheme="minorHAnsi"/>
                      <w:lang w:val="en-US"/>
                    </w:rPr>
                    <w:t>Community and pre-registered members</w:t>
                  </w:r>
                </w:p>
              </w:tc>
            </w:tr>
            <w:tr w:rsidR="00967BAA" w:rsidRPr="002E4D67" w14:paraId="6389A5C1" w14:textId="77777777" w:rsidTr="00967BAA">
              <w:trPr>
                <w:tblCellSpacing w:w="15" w:type="dxa"/>
              </w:trPr>
              <w:tc>
                <w:tcPr>
                  <w:tcW w:w="832"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2C9EE223" w14:textId="77777777" w:rsidR="00E03612" w:rsidRPr="002E4D67" w:rsidRDefault="00E03612" w:rsidP="00E03612">
                  <w:pPr>
                    <w:pStyle w:val="Textkrper"/>
                    <w:rPr>
                      <w:rFonts w:cstheme="minorHAnsi"/>
                      <w:lang w:val="en-US"/>
                    </w:rPr>
                  </w:pPr>
                  <w:r w:rsidRPr="002E4D67">
                    <w:rPr>
                      <w:rFonts w:cstheme="minorHAnsi"/>
                      <w:lang w:val="en-US"/>
                    </w:rPr>
                    <w:t>Public Sale</w:t>
                  </w:r>
                </w:p>
              </w:tc>
              <w:tc>
                <w:tcPr>
                  <w:tcW w:w="679"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665629B6" w14:textId="77777777" w:rsidR="00E03612" w:rsidRPr="002E4D67" w:rsidRDefault="00E03612" w:rsidP="00E03612">
                  <w:pPr>
                    <w:pStyle w:val="Textkrper"/>
                    <w:rPr>
                      <w:rFonts w:cstheme="minorHAnsi"/>
                      <w:lang w:val="en-US"/>
                    </w:rPr>
                  </w:pPr>
                  <w:r w:rsidRPr="002E4D67">
                    <w:rPr>
                      <w:rFonts w:cstheme="minorHAnsi"/>
                      <w:lang w:val="en-US"/>
                    </w:rPr>
                    <w:t>0</w:t>
                  </w:r>
                </w:p>
              </w:tc>
              <w:tc>
                <w:tcPr>
                  <w:tcW w:w="679"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128B1285" w14:textId="77777777" w:rsidR="00E03612" w:rsidRPr="002E4D67" w:rsidRDefault="00E03612" w:rsidP="00E03612">
                  <w:pPr>
                    <w:pStyle w:val="Textkrper"/>
                    <w:rPr>
                      <w:rFonts w:cstheme="minorHAnsi"/>
                      <w:lang w:val="en-US"/>
                    </w:rPr>
                  </w:pPr>
                  <w:r w:rsidRPr="002E4D67">
                    <w:rPr>
                      <w:rFonts w:cstheme="minorHAnsi"/>
                      <w:lang w:val="en-US"/>
                    </w:rPr>
                    <w:t>4</w:t>
                  </w:r>
                </w:p>
              </w:tc>
              <w:tc>
                <w:tcPr>
                  <w:tcW w:w="99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7C524544" w14:textId="77777777" w:rsidR="00E03612" w:rsidRPr="002E4D67" w:rsidRDefault="00E03612" w:rsidP="00E03612">
                  <w:pPr>
                    <w:pStyle w:val="Textkrper"/>
                    <w:rPr>
                      <w:rFonts w:cstheme="minorHAnsi"/>
                      <w:lang w:val="en-US"/>
                    </w:rPr>
                  </w:pPr>
                  <w:r w:rsidRPr="002E4D67">
                    <w:rPr>
                      <w:rFonts w:cstheme="minorHAnsi"/>
                      <w:lang w:val="en-US"/>
                    </w:rPr>
                    <w:t>3,500,000</w:t>
                  </w:r>
                </w:p>
              </w:tc>
              <w:tc>
                <w:tcPr>
                  <w:tcW w:w="77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7B383072" w14:textId="77777777" w:rsidR="00E03612" w:rsidRPr="002E4D67" w:rsidRDefault="00E03612" w:rsidP="00E03612">
                  <w:pPr>
                    <w:pStyle w:val="Textkrper"/>
                    <w:rPr>
                      <w:rFonts w:cstheme="minorHAnsi"/>
                      <w:lang w:val="en-US"/>
                    </w:rPr>
                  </w:pPr>
                  <w:r w:rsidRPr="002E4D67">
                    <w:rPr>
                      <w:rFonts w:cstheme="minorHAnsi"/>
                      <w:lang w:val="en-US"/>
                    </w:rPr>
                    <w:t>3.5 %</w:t>
                  </w:r>
                </w:p>
              </w:tc>
              <w:tc>
                <w:tcPr>
                  <w:tcW w:w="794"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35A77116" w14:textId="71B247B2" w:rsidR="00E03612" w:rsidRPr="002E4D67" w:rsidRDefault="00967BAA" w:rsidP="00E03612">
                  <w:pPr>
                    <w:pStyle w:val="Textkrper"/>
                    <w:rPr>
                      <w:rFonts w:cstheme="minorHAnsi"/>
                      <w:lang w:val="en-US"/>
                    </w:rPr>
                  </w:pPr>
                  <w:r>
                    <w:rPr>
                      <w:rFonts w:cstheme="minorHAnsi"/>
                      <w:lang w:val="en-US"/>
                    </w:rPr>
                    <w:t>$</w:t>
                  </w:r>
                  <w:r w:rsidR="00E03612" w:rsidRPr="002E4D67">
                    <w:rPr>
                      <w:rFonts w:cstheme="minorHAnsi"/>
                      <w:lang w:val="en-US"/>
                    </w:rPr>
                    <w:t>1.00</w:t>
                  </w:r>
                </w:p>
              </w:tc>
              <w:tc>
                <w:tcPr>
                  <w:tcW w:w="124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73AA3394" w14:textId="77777777" w:rsidR="00E03612" w:rsidRPr="002E4D67" w:rsidRDefault="00E03612" w:rsidP="00E03612">
                  <w:pPr>
                    <w:pStyle w:val="Textkrper"/>
                    <w:rPr>
                      <w:rFonts w:cstheme="minorHAnsi"/>
                      <w:lang w:val="en-US"/>
                    </w:rPr>
                  </w:pPr>
                  <w:r w:rsidRPr="002E4D67">
                    <w:rPr>
                      <w:rFonts w:cstheme="minorHAnsi"/>
                      <w:lang w:val="en-US"/>
                    </w:rPr>
                    <w:t>General public via official WYND channels</w:t>
                  </w:r>
                </w:p>
              </w:tc>
            </w:tr>
          </w:tbl>
          <w:p w14:paraId="12C0C3CB" w14:textId="77777777" w:rsidR="00E03612" w:rsidRPr="002E4D67" w:rsidRDefault="00E03612" w:rsidP="00E03612">
            <w:pPr>
              <w:pStyle w:val="Textkrper"/>
              <w:rPr>
                <w:rFonts w:cstheme="minorHAnsi"/>
                <w:lang w:val="en-US"/>
              </w:rPr>
            </w:pPr>
          </w:p>
          <w:p w14:paraId="0823EB49" w14:textId="77777777" w:rsidR="00E03612" w:rsidRPr="002E4D67" w:rsidRDefault="00E03612" w:rsidP="00E03612">
            <w:pPr>
              <w:pStyle w:val="Textkrper"/>
              <w:rPr>
                <w:rFonts w:cstheme="minorHAnsi"/>
                <w:lang w:val="en-US"/>
              </w:rPr>
            </w:pPr>
            <w:r w:rsidRPr="002E4D67">
              <w:rPr>
                <w:rFonts w:cstheme="minorHAnsi"/>
                <w:lang w:val="en-US"/>
              </w:rPr>
              <w:t xml:space="preserve">These reduced prices do </w:t>
            </w:r>
            <w:r w:rsidRPr="002E4D67">
              <w:rPr>
                <w:rStyle w:val="Fett"/>
                <w:rFonts w:cstheme="minorHAnsi"/>
                <w:lang w:val="en-US"/>
              </w:rPr>
              <w:t>not represent financial returns or investment incentives</w:t>
            </w:r>
            <w:r w:rsidRPr="002E4D67">
              <w:rPr>
                <w:rFonts w:cstheme="minorHAnsi"/>
                <w:lang w:val="en-US"/>
              </w:rPr>
              <w:t xml:space="preserve">, but rather a </w:t>
            </w:r>
            <w:r w:rsidRPr="002E4D67">
              <w:rPr>
                <w:rStyle w:val="Fett"/>
                <w:rFonts w:cstheme="minorHAnsi"/>
                <w:lang w:val="en-US"/>
              </w:rPr>
              <w:t>functional risk-adjusted pricing mechanism</w:t>
            </w:r>
            <w:r w:rsidRPr="002E4D67">
              <w:rPr>
                <w:rFonts w:cstheme="minorHAnsi"/>
                <w:lang w:val="en-US"/>
              </w:rPr>
              <w:t xml:space="preserve">. Early participants accepted </w:t>
            </w:r>
            <w:r w:rsidRPr="002E4D67">
              <w:rPr>
                <w:rStyle w:val="Fett"/>
                <w:rFonts w:cstheme="minorHAnsi"/>
                <w:lang w:val="en-US"/>
              </w:rPr>
              <w:t>longer lock-up and vesting periods</w:t>
            </w:r>
            <w:r w:rsidRPr="002E4D67">
              <w:rPr>
                <w:rFonts w:cstheme="minorHAnsi"/>
                <w:lang w:val="en-US"/>
              </w:rPr>
              <w:t xml:space="preserve"> (ranging from 9 to 18 months) and </w:t>
            </w:r>
            <w:r w:rsidRPr="002E4D67">
              <w:rPr>
                <w:rStyle w:val="Fett"/>
                <w:rFonts w:cstheme="minorHAnsi"/>
                <w:lang w:val="en-US"/>
              </w:rPr>
              <w:t>limited liquidity</w:t>
            </w:r>
            <w:r w:rsidRPr="002E4D67">
              <w:rPr>
                <w:rFonts w:cstheme="minorHAnsi"/>
                <w:lang w:val="en-US"/>
              </w:rPr>
              <w:t xml:space="preserve"> during those periods. In compensation for these restrictions and their earlier contribution to the project’s establishment, they received a lower purchase price.</w:t>
            </w:r>
          </w:p>
          <w:p w14:paraId="65060D42" w14:textId="77777777" w:rsidR="00E03612" w:rsidRPr="002E4D67" w:rsidRDefault="00E03612" w:rsidP="00E03612">
            <w:pPr>
              <w:pStyle w:val="Textkrper"/>
              <w:rPr>
                <w:rFonts w:cstheme="minorHAnsi"/>
                <w:lang w:val="en-US"/>
              </w:rPr>
            </w:pPr>
            <w:r w:rsidRPr="002E4D67">
              <w:rPr>
                <w:rFonts w:cstheme="minorHAnsi"/>
                <w:lang w:val="en-US"/>
              </w:rPr>
              <w:t>The differentiated pricing model ensures that:</w:t>
            </w:r>
          </w:p>
          <w:p w14:paraId="34379098" w14:textId="77777777" w:rsidR="00E03612" w:rsidRPr="002E4D67" w:rsidRDefault="00E03612" w:rsidP="00E03612">
            <w:pPr>
              <w:pStyle w:val="Textkrper"/>
              <w:rPr>
                <w:rFonts w:cstheme="minorHAnsi"/>
                <w:lang w:val="en-US"/>
              </w:rPr>
            </w:pPr>
            <w:r w:rsidRPr="002E4D67">
              <w:rPr>
                <w:rStyle w:val="Fett"/>
                <w:rFonts w:cstheme="minorHAnsi"/>
                <w:lang w:val="en-US"/>
              </w:rPr>
              <w:lastRenderedPageBreak/>
              <w:t>Early-phase purchasers</w:t>
            </w:r>
            <w:r w:rsidRPr="002E4D67">
              <w:rPr>
                <w:rFonts w:cstheme="minorHAnsi"/>
                <w:lang w:val="en-US"/>
              </w:rPr>
              <w:t xml:space="preserve"> support the project during its higher-risk development stage and accept delayed access to their tokens through long vesting schedules.</w:t>
            </w:r>
          </w:p>
          <w:p w14:paraId="52B2D51C" w14:textId="77777777" w:rsidR="00E03612" w:rsidRPr="002E4D67" w:rsidRDefault="00E03612" w:rsidP="00E03612">
            <w:pPr>
              <w:pStyle w:val="Textkrper"/>
              <w:rPr>
                <w:rFonts w:cstheme="minorHAnsi"/>
                <w:lang w:val="en-US"/>
              </w:rPr>
            </w:pPr>
            <w:r w:rsidRPr="002E4D67">
              <w:rPr>
                <w:rStyle w:val="Fett"/>
                <w:rFonts w:cstheme="minorHAnsi"/>
                <w:lang w:val="en-US"/>
              </w:rPr>
              <w:t>Later-phase purchasers (Public Sale)</w:t>
            </w:r>
            <w:r w:rsidRPr="002E4D67">
              <w:rPr>
                <w:rFonts w:cstheme="minorHAnsi"/>
                <w:lang w:val="en-US"/>
              </w:rPr>
              <w:t xml:space="preserve"> obtain tokens at a higher, fixed price but benefit from </w:t>
            </w:r>
            <w:r w:rsidRPr="002E4D67">
              <w:rPr>
                <w:rStyle w:val="Fett"/>
                <w:rFonts w:cstheme="minorHAnsi"/>
                <w:lang w:val="en-US"/>
              </w:rPr>
              <w:t>shorter lock-ups</w:t>
            </w:r>
            <w:r w:rsidRPr="002E4D67">
              <w:rPr>
                <w:rFonts w:cstheme="minorHAnsi"/>
                <w:lang w:val="en-US"/>
              </w:rPr>
              <w:t xml:space="preserve"> and </w:t>
            </w:r>
            <w:r w:rsidRPr="002E4D67">
              <w:rPr>
                <w:rStyle w:val="Fett"/>
                <w:rFonts w:cstheme="minorHAnsi"/>
                <w:lang w:val="en-US"/>
              </w:rPr>
              <w:t>earlier usability</w:t>
            </w:r>
            <w:r w:rsidRPr="002E4D67">
              <w:rPr>
                <w:rFonts w:cstheme="minorHAnsi"/>
                <w:lang w:val="en-US"/>
              </w:rPr>
              <w:t xml:space="preserve"> of their tokens within the WYND ecosystem.</w:t>
            </w:r>
          </w:p>
          <w:p w14:paraId="31A66E5C" w14:textId="77777777" w:rsidR="00E03612" w:rsidRPr="002E4D67" w:rsidRDefault="00E03612" w:rsidP="00E03612">
            <w:pPr>
              <w:pStyle w:val="Textkrper"/>
              <w:rPr>
                <w:rFonts w:cstheme="minorHAnsi"/>
                <w:lang w:val="en-US"/>
              </w:rPr>
            </w:pPr>
            <w:r w:rsidRPr="002E4D67">
              <w:rPr>
                <w:rStyle w:val="Fett"/>
                <w:rFonts w:cstheme="minorHAnsi"/>
                <w:lang w:val="en-US"/>
              </w:rPr>
              <w:t>Impact on Other Purchasers:</w:t>
            </w:r>
          </w:p>
          <w:p w14:paraId="58E49B6F" w14:textId="77777777" w:rsidR="00E03612" w:rsidRPr="002E4D67" w:rsidRDefault="00E03612" w:rsidP="00E03612">
            <w:pPr>
              <w:pStyle w:val="Textkrper"/>
              <w:rPr>
                <w:rFonts w:cstheme="minorHAnsi"/>
                <w:lang w:val="en-US"/>
              </w:rPr>
            </w:pPr>
            <w:r w:rsidRPr="002E4D67">
              <w:rPr>
                <w:rFonts w:cstheme="minorHAnsi"/>
                <w:lang w:val="en-US"/>
              </w:rPr>
              <w:t xml:space="preserve">The total token supply is </w:t>
            </w:r>
            <w:r w:rsidRPr="002E4D67">
              <w:rPr>
                <w:rStyle w:val="Fett"/>
                <w:rFonts w:cstheme="minorHAnsi"/>
                <w:lang w:val="en-US"/>
              </w:rPr>
              <w:t>strictly limited to 100,000,000 $WYND</w:t>
            </w:r>
            <w:r w:rsidRPr="002E4D67">
              <w:rPr>
                <w:rFonts w:cstheme="minorHAnsi"/>
                <w:lang w:val="en-US"/>
              </w:rPr>
              <w:t xml:space="preserve">, so pricing differences do </w:t>
            </w:r>
            <w:r w:rsidRPr="002E4D67">
              <w:rPr>
                <w:rStyle w:val="Fett"/>
                <w:rFonts w:cstheme="minorHAnsi"/>
                <w:lang w:val="en-US"/>
              </w:rPr>
              <w:t>not cause any dilution</w:t>
            </w:r>
            <w:r w:rsidRPr="002E4D67">
              <w:rPr>
                <w:rFonts w:cstheme="minorHAnsi"/>
                <w:lang w:val="en-US"/>
              </w:rPr>
              <w:t xml:space="preserve"> or inflationary effect for later purchasers.</w:t>
            </w:r>
          </w:p>
          <w:p w14:paraId="552BCD43" w14:textId="77777777" w:rsidR="00E03612" w:rsidRPr="002E4D67" w:rsidRDefault="00E03612" w:rsidP="00E03612">
            <w:pPr>
              <w:pStyle w:val="Textkrper"/>
              <w:rPr>
                <w:rFonts w:cstheme="minorHAnsi"/>
                <w:lang w:val="en-US"/>
              </w:rPr>
            </w:pPr>
            <w:r w:rsidRPr="002E4D67">
              <w:rPr>
                <w:rFonts w:cstheme="minorHAnsi"/>
                <w:lang w:val="en-US"/>
              </w:rPr>
              <w:t xml:space="preserve">All tokens, regardless of purchase phase, carry </w:t>
            </w:r>
            <w:r w:rsidRPr="002E4D67">
              <w:rPr>
                <w:rStyle w:val="Fett"/>
                <w:rFonts w:cstheme="minorHAnsi"/>
                <w:lang w:val="en-US"/>
              </w:rPr>
              <w:t>identical rights and utility functions</w:t>
            </w:r>
            <w:r w:rsidRPr="002E4D67">
              <w:rPr>
                <w:rFonts w:cstheme="minorHAnsi"/>
                <w:lang w:val="en-US"/>
              </w:rPr>
              <w:t xml:space="preserve"> once fully vested; there are no preferential or enhanced rights for early buyers.</w:t>
            </w:r>
          </w:p>
          <w:p w14:paraId="0C6E5850" w14:textId="77777777" w:rsidR="00E03612" w:rsidRPr="002E4D67" w:rsidRDefault="00E03612" w:rsidP="00E03612">
            <w:pPr>
              <w:pStyle w:val="Textkrper"/>
              <w:rPr>
                <w:rFonts w:cstheme="minorHAnsi"/>
                <w:lang w:val="en-US"/>
              </w:rPr>
            </w:pPr>
            <w:r w:rsidRPr="002E4D67">
              <w:rPr>
                <w:rFonts w:cstheme="minorHAnsi"/>
                <w:lang w:val="en-US"/>
              </w:rPr>
              <w:t xml:space="preserve">The </w:t>
            </w:r>
            <w:r w:rsidRPr="002E4D67">
              <w:rPr>
                <w:rStyle w:val="Fett"/>
                <w:rFonts w:cstheme="minorHAnsi"/>
                <w:lang w:val="en-US"/>
              </w:rPr>
              <w:t>on-chain vesting schedules</w:t>
            </w:r>
            <w:r w:rsidRPr="002E4D67">
              <w:rPr>
                <w:rFonts w:cstheme="minorHAnsi"/>
                <w:lang w:val="en-US"/>
              </w:rPr>
              <w:t xml:space="preserve"> (4 to 48 months) prevent sudden market releases of large token volumes, thereby protecting later purchasers from volatility or price manipulation.</w:t>
            </w:r>
          </w:p>
          <w:p w14:paraId="003EA7CB" w14:textId="77777777" w:rsidR="00E03612" w:rsidRPr="002E4D67" w:rsidRDefault="00E03612" w:rsidP="00E03612">
            <w:pPr>
              <w:pStyle w:val="Textkrper"/>
              <w:rPr>
                <w:rFonts w:cstheme="minorHAnsi"/>
                <w:lang w:val="en-US"/>
              </w:rPr>
            </w:pPr>
            <w:r w:rsidRPr="002E4D67">
              <w:rPr>
                <w:rFonts w:cstheme="minorHAnsi"/>
                <w:lang w:val="en-US"/>
              </w:rPr>
              <w:t xml:space="preserve">WYND Capital GmbH will </w:t>
            </w:r>
            <w:r w:rsidRPr="002E4D67">
              <w:rPr>
                <w:rStyle w:val="Fett"/>
                <w:rFonts w:cstheme="minorHAnsi"/>
                <w:lang w:val="en-US"/>
              </w:rPr>
              <w:t>not list or facilitate trading</w:t>
            </w:r>
            <w:r w:rsidRPr="002E4D67">
              <w:rPr>
                <w:rFonts w:cstheme="minorHAnsi"/>
                <w:lang w:val="en-US"/>
              </w:rPr>
              <w:t xml:space="preserve"> on secondary markets, further reducing speculative pressure and ensuring fair access for all participants.</w:t>
            </w:r>
          </w:p>
          <w:p w14:paraId="7EB7C918" w14:textId="77777777" w:rsidR="00E03612" w:rsidRPr="002E4D67" w:rsidRDefault="00E03612" w:rsidP="00E03612">
            <w:pPr>
              <w:pStyle w:val="Textkrper"/>
              <w:rPr>
                <w:rFonts w:cstheme="minorHAnsi"/>
                <w:lang w:val="en-US"/>
              </w:rPr>
            </w:pPr>
            <w:r w:rsidRPr="002E4D67">
              <w:rPr>
                <w:rFonts w:cstheme="minorHAnsi"/>
                <w:lang w:val="en-US"/>
              </w:rPr>
              <w:t xml:space="preserve">The overall design of the tiered pricing model is therefore based on </w:t>
            </w:r>
            <w:r w:rsidRPr="002E4D67">
              <w:rPr>
                <w:rStyle w:val="Fett"/>
                <w:rFonts w:cstheme="minorHAnsi"/>
                <w:lang w:val="en-US"/>
              </w:rPr>
              <w:t>time- and risk-adjusted fairness principles</w:t>
            </w:r>
            <w:r w:rsidRPr="002E4D67">
              <w:rPr>
                <w:rFonts w:cstheme="minorHAnsi"/>
                <w:lang w:val="en-US"/>
              </w:rPr>
              <w:t xml:space="preserve">, ensuring a balanced and transparent allocation mechanism consistent with the token’s </w:t>
            </w:r>
            <w:r w:rsidRPr="002E4D67">
              <w:rPr>
                <w:rStyle w:val="Fett"/>
                <w:rFonts w:cstheme="minorHAnsi"/>
                <w:lang w:val="en-US"/>
              </w:rPr>
              <w:t>purely utility-based nature</w:t>
            </w:r>
            <w:r w:rsidRPr="002E4D67">
              <w:rPr>
                <w:rFonts w:cstheme="minorHAnsi"/>
                <w:lang w:val="en-US"/>
              </w:rPr>
              <w:t xml:space="preserve"> under MiCAR.</w:t>
            </w:r>
          </w:p>
          <w:p w14:paraId="4A38CD9A" w14:textId="77777777" w:rsidR="00E03612" w:rsidRPr="002E4D67" w:rsidRDefault="00E03612" w:rsidP="00E03612">
            <w:pPr>
              <w:pStyle w:val="Textkrper"/>
              <w:rPr>
                <w:rFonts w:cstheme="minorHAnsi"/>
                <w:lang w:val="en-US"/>
              </w:rPr>
            </w:pPr>
          </w:p>
        </w:tc>
      </w:tr>
      <w:tr w:rsidR="00E03612" w:rsidRPr="002E4D67" w14:paraId="2254F6AB" w14:textId="77777777" w:rsidTr="00D64090">
        <w:tc>
          <w:tcPr>
            <w:tcW w:w="1985" w:type="dxa"/>
          </w:tcPr>
          <w:p w14:paraId="206691E6" w14:textId="1AC07E99" w:rsidR="00E03612" w:rsidRPr="002E4D67" w:rsidRDefault="00E03612" w:rsidP="00E03612">
            <w:pPr>
              <w:pStyle w:val="berschrift1"/>
              <w:keepNext w:val="0"/>
              <w:keepLines w:val="0"/>
              <w:rPr>
                <w:lang w:val="en-US"/>
              </w:rPr>
            </w:pPr>
            <w:bookmarkStart w:id="243" w:name="_Toc212017909"/>
            <w:bookmarkStart w:id="244" w:name="_Toc213164180"/>
            <w:bookmarkStart w:id="245" w:name="_Toc213179163"/>
            <w:r w:rsidRPr="002E4D67">
              <w:rPr>
                <w:lang w:val="en-US"/>
              </w:rPr>
              <w:lastRenderedPageBreak/>
              <w:t>E.20 Time-limited offer</w:t>
            </w:r>
            <w:bookmarkEnd w:id="243"/>
            <w:bookmarkEnd w:id="244"/>
            <w:bookmarkEnd w:id="245"/>
          </w:p>
        </w:tc>
        <w:tc>
          <w:tcPr>
            <w:tcW w:w="6371" w:type="dxa"/>
          </w:tcPr>
          <w:p w14:paraId="4B6950FE" w14:textId="5F9F9EC1" w:rsidR="00E03612" w:rsidRPr="002E4D67" w:rsidRDefault="00E03612" w:rsidP="00E03612">
            <w:pPr>
              <w:pStyle w:val="Textkrper"/>
              <w:rPr>
                <w:rFonts w:cstheme="minorHAnsi"/>
                <w:lang w:val="en-US"/>
              </w:rPr>
            </w:pPr>
            <w:r w:rsidRPr="002E4D67">
              <w:rPr>
                <w:rFonts w:cstheme="minorHAnsi"/>
                <w:lang w:val="en-US"/>
              </w:rPr>
              <w:t>True</w:t>
            </w:r>
          </w:p>
        </w:tc>
      </w:tr>
      <w:tr w:rsidR="00E03612" w:rsidRPr="002E4D67" w14:paraId="318F7867" w14:textId="77777777" w:rsidTr="00D64090">
        <w:tc>
          <w:tcPr>
            <w:tcW w:w="1985" w:type="dxa"/>
          </w:tcPr>
          <w:p w14:paraId="63304FAC" w14:textId="4FF1D4EC" w:rsidR="00E03612" w:rsidRPr="002E4D67" w:rsidRDefault="00E03612" w:rsidP="00E03612">
            <w:pPr>
              <w:pStyle w:val="berschrift1"/>
              <w:keepNext w:val="0"/>
              <w:keepLines w:val="0"/>
              <w:rPr>
                <w:lang w:val="en-US"/>
              </w:rPr>
            </w:pPr>
            <w:bookmarkStart w:id="246" w:name="_Toc212017911"/>
            <w:bookmarkStart w:id="247" w:name="_Toc213164181"/>
            <w:bookmarkStart w:id="248" w:name="_Toc213179164"/>
            <w:r w:rsidRPr="002E4D67">
              <w:rPr>
                <w:lang w:val="en-US"/>
              </w:rPr>
              <w:t>E.21 Subscription period beginning</w:t>
            </w:r>
            <w:bookmarkEnd w:id="246"/>
            <w:bookmarkEnd w:id="247"/>
            <w:bookmarkEnd w:id="248"/>
          </w:p>
        </w:tc>
        <w:tc>
          <w:tcPr>
            <w:tcW w:w="6371" w:type="dxa"/>
          </w:tcPr>
          <w:p w14:paraId="4F6D5CD7" w14:textId="739055CC" w:rsidR="00E03612" w:rsidRPr="002E4D67" w:rsidRDefault="00E03612" w:rsidP="00E03612">
            <w:pPr>
              <w:pStyle w:val="Textkrper"/>
              <w:rPr>
                <w:rFonts w:cstheme="minorHAnsi"/>
                <w:lang w:val="en-US"/>
              </w:rPr>
            </w:pPr>
            <w:r w:rsidRPr="002E4D67">
              <w:rPr>
                <w:rFonts w:cstheme="minorHAnsi"/>
                <w:lang w:val="en-US"/>
              </w:rPr>
              <w:t>202</w:t>
            </w:r>
            <w:r w:rsidR="00C67392">
              <w:rPr>
                <w:rFonts w:cstheme="minorHAnsi"/>
                <w:lang w:val="en-US"/>
              </w:rPr>
              <w:t>6</w:t>
            </w:r>
            <w:r w:rsidRPr="002E4D67">
              <w:rPr>
                <w:rFonts w:cstheme="minorHAnsi"/>
                <w:lang w:val="en-US"/>
              </w:rPr>
              <w:t>-</w:t>
            </w:r>
            <w:r w:rsidR="00C67392">
              <w:rPr>
                <w:rFonts w:cstheme="minorHAnsi"/>
                <w:lang w:val="en-US"/>
              </w:rPr>
              <w:t>01</w:t>
            </w:r>
            <w:r w:rsidRPr="002E4D67">
              <w:rPr>
                <w:rFonts w:cstheme="minorHAnsi"/>
                <w:lang w:val="en-US"/>
              </w:rPr>
              <w:t>-01 (intended)</w:t>
            </w:r>
          </w:p>
        </w:tc>
      </w:tr>
      <w:tr w:rsidR="00E03612" w:rsidRPr="002E4D67" w14:paraId="4EE83DF7" w14:textId="77777777" w:rsidTr="00D64090">
        <w:tc>
          <w:tcPr>
            <w:tcW w:w="1985" w:type="dxa"/>
          </w:tcPr>
          <w:p w14:paraId="00AD7DFA" w14:textId="038591D7" w:rsidR="00E03612" w:rsidRPr="002E4D67" w:rsidRDefault="00E03612" w:rsidP="00E03612">
            <w:pPr>
              <w:pStyle w:val="berschrift1"/>
              <w:keepNext w:val="0"/>
              <w:keepLines w:val="0"/>
              <w:rPr>
                <w:lang w:val="en-US"/>
              </w:rPr>
            </w:pPr>
            <w:bookmarkStart w:id="249" w:name="_Toc212017913"/>
            <w:bookmarkStart w:id="250" w:name="_Toc213164182"/>
            <w:bookmarkStart w:id="251" w:name="_Toc213179165"/>
            <w:r w:rsidRPr="002E4D67">
              <w:rPr>
                <w:lang w:val="en-US"/>
              </w:rPr>
              <w:t>E.22 Subscription period end</w:t>
            </w:r>
            <w:bookmarkEnd w:id="249"/>
            <w:bookmarkEnd w:id="250"/>
            <w:bookmarkEnd w:id="251"/>
          </w:p>
        </w:tc>
        <w:tc>
          <w:tcPr>
            <w:tcW w:w="6371" w:type="dxa"/>
          </w:tcPr>
          <w:p w14:paraId="1AC69253" w14:textId="6961B69A" w:rsidR="00E03612" w:rsidRPr="002E4D67" w:rsidRDefault="00E03612" w:rsidP="00E03612">
            <w:pPr>
              <w:pStyle w:val="Textkrper"/>
              <w:rPr>
                <w:rFonts w:cstheme="minorHAnsi"/>
                <w:lang w:val="en-US"/>
              </w:rPr>
            </w:pPr>
            <w:r w:rsidRPr="002E4D67">
              <w:rPr>
                <w:rFonts w:cstheme="minorHAnsi"/>
                <w:lang w:val="en-US"/>
              </w:rPr>
              <w:t>2027-03-31 (intended) or when all $WYND tokens allocated for the offer are sold.</w:t>
            </w:r>
          </w:p>
        </w:tc>
      </w:tr>
      <w:tr w:rsidR="00E03612" w:rsidRPr="002E4D67" w14:paraId="26EA2277" w14:textId="77777777" w:rsidTr="00D64090">
        <w:tc>
          <w:tcPr>
            <w:tcW w:w="1985" w:type="dxa"/>
          </w:tcPr>
          <w:p w14:paraId="4D9EA58F" w14:textId="4C86E7C8" w:rsidR="00E03612" w:rsidRPr="00C10AA2" w:rsidRDefault="00E03612" w:rsidP="00E03612">
            <w:pPr>
              <w:pStyle w:val="berschrift1"/>
              <w:keepNext w:val="0"/>
              <w:keepLines w:val="0"/>
              <w:rPr>
                <w:color w:val="000000" w:themeColor="text1"/>
                <w:lang w:val="en-US"/>
              </w:rPr>
            </w:pPr>
            <w:bookmarkStart w:id="252" w:name="_Toc212017915"/>
            <w:bookmarkStart w:id="253" w:name="_Toc213164183"/>
            <w:bookmarkStart w:id="254" w:name="_Toc213179166"/>
            <w:commentRangeStart w:id="255"/>
            <w:r w:rsidRPr="00C10AA2">
              <w:rPr>
                <w:color w:val="000000" w:themeColor="text1"/>
                <w:lang w:val="en-US"/>
              </w:rPr>
              <w:t xml:space="preserve">E.23 Safeguarding arrangements for </w:t>
            </w:r>
            <w:r w:rsidRPr="00C10AA2">
              <w:rPr>
                <w:color w:val="000000" w:themeColor="text1"/>
                <w:lang w:val="en-US"/>
              </w:rPr>
              <w:lastRenderedPageBreak/>
              <w:t>offered funds/crypto-assets</w:t>
            </w:r>
            <w:bookmarkEnd w:id="252"/>
            <w:bookmarkEnd w:id="253"/>
            <w:bookmarkEnd w:id="254"/>
            <w:commentRangeEnd w:id="255"/>
            <w:r w:rsidR="001073C5" w:rsidRPr="00C10AA2">
              <w:rPr>
                <w:rStyle w:val="Kommentarzeichen"/>
                <w:rFonts w:eastAsiaTheme="minorHAnsi" w:cstheme="minorBidi"/>
                <w:b w:val="0"/>
                <w:bCs w:val="0"/>
                <w:color w:val="000000" w:themeColor="text1"/>
                <w:szCs w:val="20"/>
                <w:lang w:val="en-US" w:eastAsia="en-US"/>
              </w:rPr>
              <w:commentReference w:id="255"/>
            </w:r>
          </w:p>
        </w:tc>
        <w:tc>
          <w:tcPr>
            <w:tcW w:w="6371" w:type="dxa"/>
          </w:tcPr>
          <w:p w14:paraId="72133EBD" w14:textId="77777777" w:rsidR="003B33F8" w:rsidRDefault="003B33F8" w:rsidP="003B33F8">
            <w:pPr>
              <w:pStyle w:val="StandardWeb"/>
              <w:jc w:val="left"/>
            </w:pPr>
            <w:r>
              <w:rPr>
                <w:rStyle w:val="Fett"/>
              </w:rPr>
              <w:lastRenderedPageBreak/>
              <w:t>Not applicable.</w:t>
            </w:r>
          </w:p>
          <w:p w14:paraId="675AD7D0" w14:textId="0970FE26" w:rsidR="003B33F8" w:rsidRDefault="003B33F8" w:rsidP="003B33F8">
            <w:pPr>
              <w:pStyle w:val="StandardWeb"/>
              <w:jc w:val="left"/>
            </w:pPr>
            <w:r>
              <w:lastRenderedPageBreak/>
              <w:t xml:space="preserve">During the subscription period and the statutory 14-day withdrawal period under Article 13 MiCAR, </w:t>
            </w:r>
            <w:r>
              <w:rPr>
                <w:rStyle w:val="Fett"/>
              </w:rPr>
              <w:t>no payments (fiat or crypto-assets) are accepted by the issuer</w:t>
            </w:r>
            <w:r>
              <w:t>.</w:t>
            </w:r>
            <w:r w:rsidR="00627149">
              <w:t xml:space="preserve"> No fiat funds or crypto-assets are held by the issuer during the withdrawal period; therefore, no CRR account or CASP safeguarding arrangement is required for this offer structure.</w:t>
            </w:r>
          </w:p>
          <w:p w14:paraId="231629D8" w14:textId="77777777" w:rsidR="003B33F8" w:rsidRDefault="003B33F8" w:rsidP="003B33F8">
            <w:pPr>
              <w:pStyle w:val="StandardWeb"/>
              <w:jc w:val="left"/>
            </w:pPr>
            <w:r>
              <w:t>Purchasers retain full control over their funds and crypto-assets until the withdrawal period expires.</w:t>
            </w:r>
            <w:r>
              <w:br/>
              <w:t>No assets are held, controlled, stored, or safeguarded by the issuer or by any third-party service provider during this phase.</w:t>
            </w:r>
          </w:p>
          <w:p w14:paraId="245010CC" w14:textId="77777777" w:rsidR="003B33F8" w:rsidRDefault="003B33F8" w:rsidP="003B33F8">
            <w:pPr>
              <w:pStyle w:val="StandardWeb"/>
              <w:jc w:val="left"/>
            </w:pPr>
            <w:r>
              <w:t>As a result:</w:t>
            </w:r>
          </w:p>
          <w:p w14:paraId="2EA126F8" w14:textId="77777777" w:rsidR="003B33F8" w:rsidRDefault="003B33F8" w:rsidP="003B33F8">
            <w:pPr>
              <w:pStyle w:val="StandardWeb"/>
              <w:numPr>
                <w:ilvl w:val="0"/>
                <w:numId w:val="106"/>
              </w:numPr>
              <w:overflowPunct/>
              <w:autoSpaceDE/>
              <w:autoSpaceDN/>
              <w:adjustRightInd/>
              <w:spacing w:before="100" w:beforeAutospacing="1" w:after="100" w:afterAutospacing="1" w:line="240" w:lineRule="auto"/>
              <w:jc w:val="left"/>
              <w:textAlignment w:val="auto"/>
            </w:pPr>
            <w:r>
              <w:t>no safeguarding accounts are established,</w:t>
            </w:r>
          </w:p>
          <w:p w14:paraId="7760CF28" w14:textId="77777777" w:rsidR="003B33F8" w:rsidRDefault="003B33F8" w:rsidP="003B33F8">
            <w:pPr>
              <w:pStyle w:val="StandardWeb"/>
              <w:numPr>
                <w:ilvl w:val="0"/>
                <w:numId w:val="106"/>
              </w:numPr>
              <w:overflowPunct/>
              <w:autoSpaceDE/>
              <w:autoSpaceDN/>
              <w:adjustRightInd/>
              <w:spacing w:before="100" w:beforeAutospacing="1" w:after="100" w:afterAutospacing="1" w:line="240" w:lineRule="auto"/>
              <w:jc w:val="left"/>
              <w:textAlignment w:val="auto"/>
            </w:pPr>
            <w:r>
              <w:t>no CRR credit institution is required,</w:t>
            </w:r>
          </w:p>
          <w:p w14:paraId="57F83448" w14:textId="77777777" w:rsidR="003B33F8" w:rsidRDefault="003B33F8" w:rsidP="003B33F8">
            <w:pPr>
              <w:pStyle w:val="StandardWeb"/>
              <w:numPr>
                <w:ilvl w:val="0"/>
                <w:numId w:val="106"/>
              </w:numPr>
              <w:overflowPunct/>
              <w:autoSpaceDE/>
              <w:autoSpaceDN/>
              <w:adjustRightInd/>
              <w:spacing w:before="100" w:beforeAutospacing="1" w:after="100" w:afterAutospacing="1" w:line="240" w:lineRule="auto"/>
              <w:jc w:val="left"/>
              <w:textAlignment w:val="auto"/>
            </w:pPr>
            <w:r>
              <w:t>no CASP custody wallet is required,</w:t>
            </w:r>
          </w:p>
          <w:p w14:paraId="67FA86A5" w14:textId="77777777" w:rsidR="003B33F8" w:rsidRDefault="003B33F8" w:rsidP="003B33F8">
            <w:pPr>
              <w:pStyle w:val="StandardWeb"/>
              <w:numPr>
                <w:ilvl w:val="0"/>
                <w:numId w:val="106"/>
              </w:numPr>
              <w:overflowPunct/>
              <w:autoSpaceDE/>
              <w:autoSpaceDN/>
              <w:adjustRightInd/>
              <w:spacing w:before="100" w:beforeAutospacing="1" w:after="100" w:afterAutospacing="1" w:line="240" w:lineRule="auto"/>
              <w:jc w:val="left"/>
              <w:textAlignment w:val="auto"/>
            </w:pPr>
            <w:r>
              <w:t>and no client assets are handled before the end of the withdrawal period.</w:t>
            </w:r>
          </w:p>
          <w:p w14:paraId="110C55A4" w14:textId="77777777" w:rsidR="003B33F8" w:rsidRDefault="003B33F8" w:rsidP="003B33F8">
            <w:pPr>
              <w:pStyle w:val="StandardWeb"/>
              <w:jc w:val="left"/>
            </w:pPr>
            <w:r>
              <w:t>This approach is fully compliant with Article 13 MiCAR and DVO (EU) 2024/2984 Table 2.</w:t>
            </w:r>
          </w:p>
          <w:p w14:paraId="3A88A336" w14:textId="34656470" w:rsidR="003B33F8" w:rsidRPr="00C10AA2" w:rsidRDefault="003B33F8" w:rsidP="003B33F8">
            <w:pPr>
              <w:pStyle w:val="StandardWeb"/>
              <w:jc w:val="left"/>
              <w:rPr>
                <w:color w:val="000000" w:themeColor="text1"/>
              </w:rPr>
            </w:pPr>
          </w:p>
        </w:tc>
      </w:tr>
      <w:tr w:rsidR="00E03612" w:rsidRPr="002E4D67" w14:paraId="2DFCA5E9" w14:textId="77777777" w:rsidTr="00D64090">
        <w:tc>
          <w:tcPr>
            <w:tcW w:w="1985" w:type="dxa"/>
          </w:tcPr>
          <w:p w14:paraId="45D69A7C" w14:textId="451E102B" w:rsidR="00E03612" w:rsidRPr="002E4D67" w:rsidRDefault="00E03612" w:rsidP="00E03612">
            <w:pPr>
              <w:pStyle w:val="berschrift1"/>
              <w:keepNext w:val="0"/>
              <w:keepLines w:val="0"/>
              <w:rPr>
                <w:lang w:val="en-US"/>
              </w:rPr>
            </w:pPr>
            <w:bookmarkStart w:id="256" w:name="_Toc212017917"/>
            <w:bookmarkStart w:id="257" w:name="_Toc213164184"/>
            <w:bookmarkStart w:id="258" w:name="_Toc213179167"/>
            <w:r w:rsidRPr="002E4D67">
              <w:rPr>
                <w:lang w:val="en-US"/>
              </w:rPr>
              <w:lastRenderedPageBreak/>
              <w:t>E.24 Payment methods for crypto-asset purchase</w:t>
            </w:r>
            <w:bookmarkEnd w:id="256"/>
            <w:bookmarkEnd w:id="257"/>
            <w:bookmarkEnd w:id="258"/>
          </w:p>
        </w:tc>
        <w:tc>
          <w:tcPr>
            <w:tcW w:w="6371" w:type="dxa"/>
          </w:tcPr>
          <w:p w14:paraId="2352F3A3" w14:textId="77777777" w:rsidR="003B33F8" w:rsidRDefault="003B33F8" w:rsidP="003B33F8">
            <w:pPr>
              <w:pStyle w:val="StandardWeb"/>
            </w:pPr>
            <w:r>
              <w:t xml:space="preserve">The purchase of the $WYND Utility Token is conducted </w:t>
            </w:r>
            <w:r>
              <w:rPr>
                <w:rStyle w:val="Fett"/>
              </w:rPr>
              <w:t>exclusively in crypto-assets</w:t>
            </w:r>
            <w:r>
              <w:t xml:space="preserve"> after the expiration of the statutory withdrawal period.</w:t>
            </w:r>
          </w:p>
          <w:p w14:paraId="4059667E" w14:textId="77777777" w:rsidR="003B33F8" w:rsidRDefault="003B33F8" w:rsidP="003B33F8">
            <w:pPr>
              <w:pStyle w:val="StandardWeb"/>
            </w:pPr>
            <w:r>
              <w:rPr>
                <w:rStyle w:val="Fett"/>
              </w:rPr>
              <w:t>Accepted payment assets:</w:t>
            </w:r>
          </w:p>
          <w:p w14:paraId="44F40871" w14:textId="77777777" w:rsidR="00EB0961" w:rsidRPr="00EB0961" w:rsidRDefault="003B33F8" w:rsidP="003B33F8">
            <w:pPr>
              <w:pStyle w:val="StandardWeb"/>
              <w:numPr>
                <w:ilvl w:val="0"/>
                <w:numId w:val="107"/>
              </w:numPr>
              <w:overflowPunct/>
              <w:autoSpaceDE/>
              <w:autoSpaceDN/>
              <w:adjustRightInd/>
              <w:spacing w:before="100" w:beforeAutospacing="1" w:after="100" w:afterAutospacing="1" w:line="240" w:lineRule="auto"/>
              <w:jc w:val="left"/>
              <w:textAlignment w:val="auto"/>
              <w:rPr>
                <w:rStyle w:val="Fett"/>
                <w:b w:val="0"/>
                <w:bCs w:val="0"/>
              </w:rPr>
            </w:pPr>
            <w:r>
              <w:rPr>
                <w:rStyle w:val="Fett"/>
              </w:rPr>
              <w:t xml:space="preserve">USDC </w:t>
            </w:r>
          </w:p>
          <w:p w14:paraId="1566A04B" w14:textId="77777777" w:rsidR="00EB0961" w:rsidRDefault="00EB0961" w:rsidP="00EB0961">
            <w:pPr>
              <w:pStyle w:val="StandardWeb"/>
              <w:overflowPunct/>
              <w:autoSpaceDE/>
              <w:autoSpaceDN/>
              <w:adjustRightInd/>
              <w:spacing w:before="100" w:beforeAutospacing="1" w:after="100" w:afterAutospacing="1" w:line="240" w:lineRule="auto"/>
              <w:jc w:val="left"/>
              <w:textAlignment w:val="auto"/>
              <w:rPr>
                <w:rStyle w:val="Fett"/>
              </w:rPr>
            </w:pPr>
          </w:p>
          <w:p w14:paraId="7F0C86CF" w14:textId="2A8041BC" w:rsidR="003B33F8" w:rsidRDefault="003B33F8" w:rsidP="00EB0961">
            <w:pPr>
              <w:pStyle w:val="StandardWeb"/>
              <w:overflowPunct/>
              <w:autoSpaceDE/>
              <w:autoSpaceDN/>
              <w:adjustRightInd/>
              <w:spacing w:before="100" w:beforeAutospacing="1" w:after="100" w:afterAutospacing="1" w:line="240" w:lineRule="auto"/>
              <w:jc w:val="left"/>
              <w:textAlignment w:val="auto"/>
            </w:pPr>
            <w:r>
              <w:rPr>
                <w:rStyle w:val="Fett"/>
              </w:rPr>
              <w:t>Payment process:</w:t>
            </w:r>
          </w:p>
          <w:p w14:paraId="1E9CB74D" w14:textId="77777777" w:rsidR="003B33F8" w:rsidRDefault="003B33F8" w:rsidP="003B33F8">
            <w:pPr>
              <w:pStyle w:val="StandardWeb"/>
              <w:numPr>
                <w:ilvl w:val="0"/>
                <w:numId w:val="108"/>
              </w:numPr>
              <w:overflowPunct/>
              <w:autoSpaceDE/>
              <w:autoSpaceDN/>
              <w:adjustRightInd/>
              <w:spacing w:before="100" w:beforeAutospacing="1" w:after="100" w:afterAutospacing="1" w:line="240" w:lineRule="auto"/>
              <w:jc w:val="left"/>
              <w:textAlignment w:val="auto"/>
            </w:pPr>
            <w:r>
              <w:t>Purchasers register and complete KYC/AML verification.</w:t>
            </w:r>
          </w:p>
          <w:p w14:paraId="7D30C170" w14:textId="77777777" w:rsidR="003B33F8" w:rsidRDefault="003B33F8" w:rsidP="003B33F8">
            <w:pPr>
              <w:pStyle w:val="StandardWeb"/>
              <w:numPr>
                <w:ilvl w:val="0"/>
                <w:numId w:val="108"/>
              </w:numPr>
              <w:overflowPunct/>
              <w:autoSpaceDE/>
              <w:autoSpaceDN/>
              <w:adjustRightInd/>
              <w:spacing w:before="100" w:beforeAutospacing="1" w:after="100" w:afterAutospacing="1" w:line="240" w:lineRule="auto"/>
              <w:jc w:val="left"/>
              <w:textAlignment w:val="auto"/>
            </w:pPr>
            <w:r>
              <w:t>Purchasers sign the purchase commitment.</w:t>
            </w:r>
          </w:p>
          <w:p w14:paraId="5279D5EE" w14:textId="77777777" w:rsidR="003B33F8" w:rsidRDefault="003B33F8" w:rsidP="003B33F8">
            <w:pPr>
              <w:pStyle w:val="StandardWeb"/>
              <w:numPr>
                <w:ilvl w:val="0"/>
                <w:numId w:val="108"/>
              </w:numPr>
              <w:overflowPunct/>
              <w:autoSpaceDE/>
              <w:autoSpaceDN/>
              <w:adjustRightInd/>
              <w:spacing w:before="100" w:beforeAutospacing="1" w:after="100" w:afterAutospacing="1" w:line="240" w:lineRule="auto"/>
              <w:jc w:val="left"/>
              <w:textAlignment w:val="auto"/>
            </w:pPr>
            <w:r>
              <w:t xml:space="preserve">During the 14-day withdrawal period, </w:t>
            </w:r>
            <w:r>
              <w:rPr>
                <w:rStyle w:val="Fett"/>
              </w:rPr>
              <w:t>no payment is made</w:t>
            </w:r>
            <w:r>
              <w:t>.</w:t>
            </w:r>
          </w:p>
          <w:p w14:paraId="2710E90C" w14:textId="77777777" w:rsidR="003B33F8" w:rsidRDefault="003B33F8" w:rsidP="003B33F8">
            <w:pPr>
              <w:pStyle w:val="StandardWeb"/>
              <w:numPr>
                <w:ilvl w:val="0"/>
                <w:numId w:val="108"/>
              </w:numPr>
              <w:overflowPunct/>
              <w:autoSpaceDE/>
              <w:autoSpaceDN/>
              <w:adjustRightInd/>
              <w:spacing w:before="100" w:beforeAutospacing="1" w:after="100" w:afterAutospacing="1" w:line="240" w:lineRule="auto"/>
              <w:jc w:val="left"/>
              <w:textAlignment w:val="auto"/>
            </w:pPr>
            <w:r>
              <w:t>After withdrawal expiry, purchasers transfer ETH or USDC directly from their self-custody wallet to the issuer’s designated smart contract address.</w:t>
            </w:r>
          </w:p>
          <w:p w14:paraId="4EC9462D" w14:textId="77777777" w:rsidR="003B33F8" w:rsidRDefault="003B33F8" w:rsidP="003B33F8">
            <w:pPr>
              <w:pStyle w:val="StandardWeb"/>
              <w:numPr>
                <w:ilvl w:val="0"/>
                <w:numId w:val="108"/>
              </w:numPr>
              <w:overflowPunct/>
              <w:autoSpaceDE/>
              <w:autoSpaceDN/>
              <w:adjustRightInd/>
              <w:spacing w:before="100" w:beforeAutospacing="1" w:after="100" w:afterAutospacing="1" w:line="240" w:lineRule="auto"/>
              <w:jc w:val="left"/>
              <w:textAlignment w:val="auto"/>
            </w:pPr>
            <w:r>
              <w:lastRenderedPageBreak/>
              <w:t>Tokens are allocated after the Token Generation Event (TGE).</w:t>
            </w:r>
          </w:p>
          <w:p w14:paraId="1A961DDE" w14:textId="77777777" w:rsidR="003B33F8" w:rsidRDefault="003B33F8" w:rsidP="003B33F8">
            <w:pPr>
              <w:pStyle w:val="StandardWeb"/>
              <w:jc w:val="left"/>
            </w:pPr>
            <w:r>
              <w:rPr>
                <w:rStyle w:val="Fett"/>
              </w:rPr>
              <w:t>Valuation method:</w:t>
            </w:r>
            <w:r>
              <w:br/>
              <w:t>The USD equivalent is determined at the moment of payment using a reputable market data source (e.g., CoinMarketCap or CoinGecko).</w:t>
            </w:r>
          </w:p>
          <w:p w14:paraId="0C04883F" w14:textId="77777777" w:rsidR="003B33F8" w:rsidRDefault="003B33F8" w:rsidP="003B33F8">
            <w:pPr>
              <w:pStyle w:val="StandardWeb"/>
              <w:jc w:val="left"/>
            </w:pPr>
            <w:r>
              <w:t>No fiat payments are accepted.</w:t>
            </w:r>
          </w:p>
          <w:p w14:paraId="2FF6E6AF" w14:textId="0B7C1C82" w:rsidR="00E03612" w:rsidRPr="00D03D3E" w:rsidRDefault="00E03612" w:rsidP="00D03D3E">
            <w:pPr>
              <w:pStyle w:val="Textkrper"/>
              <w:jc w:val="left"/>
              <w:rPr>
                <w:rFonts w:cstheme="minorHAnsi"/>
                <w:lang w:val="en-US"/>
              </w:rPr>
            </w:pPr>
          </w:p>
        </w:tc>
      </w:tr>
      <w:tr w:rsidR="00E03612" w:rsidRPr="002E4D67" w14:paraId="5C25A87C" w14:textId="77777777" w:rsidTr="00D64090">
        <w:tc>
          <w:tcPr>
            <w:tcW w:w="1985" w:type="dxa"/>
          </w:tcPr>
          <w:p w14:paraId="4CF15C8A" w14:textId="450CBF1E" w:rsidR="00E03612" w:rsidRPr="002E4D67" w:rsidRDefault="00E03612" w:rsidP="00E03612">
            <w:pPr>
              <w:pStyle w:val="berschrift1"/>
              <w:keepNext w:val="0"/>
              <w:keepLines w:val="0"/>
              <w:rPr>
                <w:lang w:val="en-US"/>
              </w:rPr>
            </w:pPr>
            <w:bookmarkStart w:id="259" w:name="_Toc212017919"/>
            <w:bookmarkStart w:id="260" w:name="_Toc213164185"/>
            <w:bookmarkStart w:id="261" w:name="_Toc213179168"/>
            <w:r w:rsidRPr="002E4D67">
              <w:rPr>
                <w:lang w:val="en-US"/>
              </w:rPr>
              <w:lastRenderedPageBreak/>
              <w:t>E.25 Value transfer methods for reimbursement</w:t>
            </w:r>
            <w:bookmarkEnd w:id="259"/>
            <w:bookmarkEnd w:id="260"/>
            <w:bookmarkEnd w:id="261"/>
          </w:p>
        </w:tc>
        <w:tc>
          <w:tcPr>
            <w:tcW w:w="6371" w:type="dxa"/>
          </w:tcPr>
          <w:p w14:paraId="57246094" w14:textId="2E7B55F7" w:rsidR="003B33F8" w:rsidRDefault="003B33F8" w:rsidP="003B33F8">
            <w:pPr>
              <w:pStyle w:val="StandardWeb"/>
              <w:jc w:val="left"/>
            </w:pPr>
            <w:r>
              <w:t>During the 14-day withdrawal period under Article 13 MiCAR, purchasers may withdraw from their commitment at any time without fees or reasons.</w:t>
            </w:r>
          </w:p>
          <w:p w14:paraId="2999F1F2" w14:textId="77777777" w:rsidR="003B33F8" w:rsidRDefault="003B33F8" w:rsidP="003B33F8">
            <w:pPr>
              <w:pStyle w:val="StandardWeb"/>
            </w:pPr>
            <w:r>
              <w:t xml:space="preserve">Since no payment is accepted before the expiration of the withdrawal period, </w:t>
            </w:r>
            <w:r>
              <w:rPr>
                <w:rStyle w:val="Fett"/>
              </w:rPr>
              <w:t>no reimbursement is required in practice</w:t>
            </w:r>
            <w:r>
              <w:t>.</w:t>
            </w:r>
          </w:p>
          <w:p w14:paraId="11E3A523" w14:textId="77777777" w:rsidR="003B33F8" w:rsidRDefault="003B33F8" w:rsidP="003B33F8">
            <w:pPr>
              <w:pStyle w:val="StandardWeb"/>
            </w:pPr>
            <w:r>
              <w:t xml:space="preserve">If a purchaser withdraws </w:t>
            </w:r>
            <w:r>
              <w:rPr>
                <w:rStyle w:val="Fett"/>
              </w:rPr>
              <w:t>after having mistakenly sent funds early</w:t>
            </w:r>
            <w:r>
              <w:t xml:space="preserve">, reimbursement will be made using the </w:t>
            </w:r>
            <w:r>
              <w:rPr>
                <w:rStyle w:val="Fett"/>
              </w:rPr>
              <w:t>same crypto-asset and wallet address</w:t>
            </w:r>
            <w:r>
              <w:t xml:space="preserve"> used for the original transaction, unless the purchaser expressly agrees otherwise and without any additional costs.</w:t>
            </w:r>
          </w:p>
          <w:p w14:paraId="13FB7406" w14:textId="77777777" w:rsidR="003B33F8" w:rsidRDefault="003B33F8" w:rsidP="003B33F8">
            <w:pPr>
              <w:pStyle w:val="StandardWeb"/>
            </w:pPr>
            <w:r>
              <w:t>Outside the MiCAR withdrawal period, no refunds or buy-backs are offered.</w:t>
            </w:r>
          </w:p>
          <w:p w14:paraId="1993F4DE" w14:textId="4C9DBCD8" w:rsidR="003B33F8" w:rsidRPr="00D03D3E" w:rsidRDefault="003B33F8" w:rsidP="003B33F8">
            <w:pPr>
              <w:pStyle w:val="StandardWeb"/>
            </w:pPr>
          </w:p>
        </w:tc>
      </w:tr>
      <w:tr w:rsidR="00E03612" w:rsidRPr="002E4D67" w14:paraId="2B5920DC" w14:textId="77777777" w:rsidTr="00D64090">
        <w:tc>
          <w:tcPr>
            <w:tcW w:w="1985" w:type="dxa"/>
          </w:tcPr>
          <w:p w14:paraId="22E201F6" w14:textId="690F4D7D" w:rsidR="00E03612" w:rsidRPr="002E4D67" w:rsidRDefault="00E03612" w:rsidP="00E03612">
            <w:pPr>
              <w:pStyle w:val="berschrift1"/>
              <w:keepNext w:val="0"/>
              <w:keepLines w:val="0"/>
              <w:rPr>
                <w:lang w:val="en-US"/>
              </w:rPr>
            </w:pPr>
            <w:bookmarkStart w:id="262" w:name="_Toc212017921"/>
            <w:bookmarkStart w:id="263" w:name="_Toc213164186"/>
            <w:bookmarkStart w:id="264" w:name="_Toc213179169"/>
            <w:r w:rsidRPr="002E4D67">
              <w:rPr>
                <w:lang w:val="en-US"/>
              </w:rPr>
              <w:t>E.26 Right of withdrawal</w:t>
            </w:r>
            <w:bookmarkEnd w:id="262"/>
            <w:bookmarkEnd w:id="263"/>
            <w:bookmarkEnd w:id="264"/>
          </w:p>
        </w:tc>
        <w:tc>
          <w:tcPr>
            <w:tcW w:w="6371" w:type="dxa"/>
          </w:tcPr>
          <w:p w14:paraId="77E5AECA" w14:textId="0518F302" w:rsidR="003B33F8" w:rsidRDefault="003B33F8" w:rsidP="003B33F8">
            <w:pPr>
              <w:pStyle w:val="StandardWeb"/>
            </w:pPr>
            <w:r>
              <w:t>Purchasers have the right to withdraw from their purchase commitment within 14 calendar days from the date on which they agreed to purchase the $WYND Utility Token.</w:t>
            </w:r>
          </w:p>
          <w:p w14:paraId="416F6302" w14:textId="77777777" w:rsidR="003B33F8" w:rsidRDefault="003B33F8" w:rsidP="003B33F8">
            <w:pPr>
              <w:pStyle w:val="StandardWeb"/>
            </w:pPr>
            <w:r>
              <w:t>Withdrawal:</w:t>
            </w:r>
          </w:p>
          <w:p w14:paraId="693625A8" w14:textId="77777777" w:rsidR="003B33F8" w:rsidRDefault="003B33F8" w:rsidP="003B33F8">
            <w:pPr>
              <w:pStyle w:val="StandardWeb"/>
              <w:numPr>
                <w:ilvl w:val="0"/>
                <w:numId w:val="109"/>
              </w:numPr>
              <w:overflowPunct/>
              <w:autoSpaceDE/>
              <w:autoSpaceDN/>
              <w:adjustRightInd/>
              <w:spacing w:before="100" w:beforeAutospacing="1" w:after="100" w:afterAutospacing="1" w:line="240" w:lineRule="auto"/>
              <w:jc w:val="left"/>
              <w:textAlignment w:val="auto"/>
            </w:pPr>
            <w:r>
              <w:t>requires no reason,</w:t>
            </w:r>
          </w:p>
          <w:p w14:paraId="5D4F8761" w14:textId="77777777" w:rsidR="003B33F8" w:rsidRDefault="003B33F8" w:rsidP="003B33F8">
            <w:pPr>
              <w:pStyle w:val="StandardWeb"/>
              <w:numPr>
                <w:ilvl w:val="0"/>
                <w:numId w:val="109"/>
              </w:numPr>
              <w:overflowPunct/>
              <w:autoSpaceDE/>
              <w:autoSpaceDN/>
              <w:adjustRightInd/>
              <w:spacing w:before="100" w:beforeAutospacing="1" w:after="100" w:afterAutospacing="1" w:line="240" w:lineRule="auto"/>
              <w:jc w:val="left"/>
              <w:textAlignment w:val="auto"/>
            </w:pPr>
            <w:r>
              <w:t>must be free of charge,</w:t>
            </w:r>
          </w:p>
          <w:p w14:paraId="4F097CEA" w14:textId="77777777" w:rsidR="003B33F8" w:rsidRDefault="003B33F8" w:rsidP="003B33F8">
            <w:pPr>
              <w:pStyle w:val="StandardWeb"/>
              <w:numPr>
                <w:ilvl w:val="0"/>
                <w:numId w:val="109"/>
              </w:numPr>
              <w:overflowPunct/>
              <w:autoSpaceDE/>
              <w:autoSpaceDN/>
              <w:adjustRightInd/>
              <w:spacing w:before="100" w:beforeAutospacing="1" w:after="100" w:afterAutospacing="1" w:line="240" w:lineRule="auto"/>
              <w:jc w:val="left"/>
              <w:textAlignment w:val="auto"/>
            </w:pPr>
            <w:r>
              <w:t xml:space="preserve">may be submitted by email to </w:t>
            </w:r>
            <w:r>
              <w:rPr>
                <w:rStyle w:val="Fett"/>
              </w:rPr>
              <w:t>info@wynd.group</w:t>
            </w:r>
            <w:r>
              <w:t>,</w:t>
            </w:r>
          </w:p>
          <w:p w14:paraId="3A09ED55" w14:textId="77777777" w:rsidR="003B33F8" w:rsidRDefault="003B33F8" w:rsidP="003B33F8">
            <w:pPr>
              <w:pStyle w:val="StandardWeb"/>
              <w:numPr>
                <w:ilvl w:val="0"/>
                <w:numId w:val="109"/>
              </w:numPr>
              <w:overflowPunct/>
              <w:autoSpaceDE/>
              <w:autoSpaceDN/>
              <w:adjustRightInd/>
              <w:spacing w:before="100" w:beforeAutospacing="1" w:after="100" w:afterAutospacing="1" w:line="240" w:lineRule="auto"/>
              <w:jc w:val="left"/>
              <w:textAlignment w:val="auto"/>
            </w:pPr>
            <w:r>
              <w:t>renders the commitment void,</w:t>
            </w:r>
          </w:p>
          <w:p w14:paraId="29E2A4EE" w14:textId="77777777" w:rsidR="003B33F8" w:rsidRDefault="003B33F8" w:rsidP="003B33F8">
            <w:pPr>
              <w:pStyle w:val="StandardWeb"/>
              <w:numPr>
                <w:ilvl w:val="0"/>
                <w:numId w:val="109"/>
              </w:numPr>
              <w:overflowPunct/>
              <w:autoSpaceDE/>
              <w:autoSpaceDN/>
              <w:adjustRightInd/>
              <w:spacing w:before="100" w:beforeAutospacing="1" w:after="100" w:afterAutospacing="1" w:line="240" w:lineRule="auto"/>
              <w:jc w:val="left"/>
              <w:textAlignment w:val="auto"/>
            </w:pPr>
            <w:r>
              <w:t>must be processed before payment occurs.</w:t>
            </w:r>
          </w:p>
          <w:p w14:paraId="327E1E32" w14:textId="292F39B8" w:rsidR="00D03D3E" w:rsidRPr="003B33F8" w:rsidRDefault="003B33F8" w:rsidP="003B33F8">
            <w:pPr>
              <w:pStyle w:val="StandardWeb"/>
            </w:pPr>
            <w:r>
              <w:t>If a purchaser exercises their right of withdrawal, the issuer will not request or accept any payment.</w:t>
            </w:r>
          </w:p>
        </w:tc>
      </w:tr>
      <w:tr w:rsidR="00E03612" w:rsidRPr="002E4D67" w14:paraId="61824A7A" w14:textId="77777777" w:rsidTr="00D64090">
        <w:tc>
          <w:tcPr>
            <w:tcW w:w="1985" w:type="dxa"/>
          </w:tcPr>
          <w:p w14:paraId="786D1130" w14:textId="39C5D40E" w:rsidR="00E03612" w:rsidRPr="002E4D67" w:rsidRDefault="00E03612" w:rsidP="00E03612">
            <w:pPr>
              <w:pStyle w:val="berschrift1"/>
              <w:keepNext w:val="0"/>
              <w:keepLines w:val="0"/>
              <w:rPr>
                <w:lang w:val="en-US"/>
              </w:rPr>
            </w:pPr>
            <w:bookmarkStart w:id="265" w:name="_Toc212017923"/>
            <w:bookmarkStart w:id="266" w:name="_Toc213164187"/>
            <w:bookmarkStart w:id="267" w:name="_Toc213179170"/>
            <w:r w:rsidRPr="002E4D67">
              <w:rPr>
                <w:lang w:val="en-US"/>
              </w:rPr>
              <w:lastRenderedPageBreak/>
              <w:t>E.27 Transfer of purchased crypto-assets</w:t>
            </w:r>
            <w:bookmarkEnd w:id="265"/>
            <w:bookmarkEnd w:id="266"/>
            <w:bookmarkEnd w:id="267"/>
          </w:p>
        </w:tc>
        <w:tc>
          <w:tcPr>
            <w:tcW w:w="6371" w:type="dxa"/>
          </w:tcPr>
          <w:p w14:paraId="7A137324" w14:textId="77777777" w:rsidR="003B33F8" w:rsidRDefault="003B33F8" w:rsidP="003B33F8">
            <w:pPr>
              <w:pStyle w:val="StandardWeb"/>
            </w:pPr>
            <w:r>
              <w:t xml:space="preserve">Purchased $WYND tokens are transferred to the purchaser </w:t>
            </w:r>
            <w:r>
              <w:rPr>
                <w:rStyle w:val="Fett"/>
              </w:rPr>
              <w:t>after</w:t>
            </w:r>
            <w:r>
              <w:t>:</w:t>
            </w:r>
          </w:p>
          <w:p w14:paraId="57353412" w14:textId="77777777" w:rsidR="003B33F8" w:rsidRDefault="003B33F8" w:rsidP="003B33F8">
            <w:pPr>
              <w:pStyle w:val="StandardWeb"/>
              <w:numPr>
                <w:ilvl w:val="0"/>
                <w:numId w:val="110"/>
              </w:numPr>
              <w:overflowPunct/>
              <w:autoSpaceDE/>
              <w:autoSpaceDN/>
              <w:adjustRightInd/>
              <w:spacing w:before="100" w:beforeAutospacing="1" w:after="100" w:afterAutospacing="1" w:line="240" w:lineRule="auto"/>
              <w:jc w:val="left"/>
              <w:textAlignment w:val="auto"/>
            </w:pPr>
            <w:r>
              <w:t>completion of the subscription period,</w:t>
            </w:r>
          </w:p>
          <w:p w14:paraId="2F1B8A74" w14:textId="77777777" w:rsidR="003B33F8" w:rsidRDefault="003B33F8" w:rsidP="003B33F8">
            <w:pPr>
              <w:pStyle w:val="StandardWeb"/>
              <w:numPr>
                <w:ilvl w:val="0"/>
                <w:numId w:val="110"/>
              </w:numPr>
              <w:overflowPunct/>
              <w:autoSpaceDE/>
              <w:autoSpaceDN/>
              <w:adjustRightInd/>
              <w:spacing w:before="100" w:beforeAutospacing="1" w:after="100" w:afterAutospacing="1" w:line="240" w:lineRule="auto"/>
              <w:jc w:val="left"/>
              <w:textAlignment w:val="auto"/>
            </w:pPr>
            <w:r>
              <w:t>expiration of the 14-day MiCAR withdrawal period,</w:t>
            </w:r>
          </w:p>
          <w:p w14:paraId="4E9B5DE7" w14:textId="77777777" w:rsidR="003B33F8" w:rsidRDefault="003B33F8" w:rsidP="003B33F8">
            <w:pPr>
              <w:pStyle w:val="StandardWeb"/>
              <w:numPr>
                <w:ilvl w:val="0"/>
                <w:numId w:val="110"/>
              </w:numPr>
              <w:overflowPunct/>
              <w:autoSpaceDE/>
              <w:autoSpaceDN/>
              <w:adjustRightInd/>
              <w:spacing w:before="100" w:beforeAutospacing="1" w:after="100" w:afterAutospacing="1" w:line="240" w:lineRule="auto"/>
              <w:jc w:val="left"/>
              <w:textAlignment w:val="auto"/>
            </w:pPr>
            <w:r>
              <w:t>execution of the Token Generation Event (TGE),</w:t>
            </w:r>
          </w:p>
          <w:p w14:paraId="396E57FC" w14:textId="77777777" w:rsidR="003B33F8" w:rsidRDefault="003B33F8" w:rsidP="003B33F8">
            <w:pPr>
              <w:pStyle w:val="StandardWeb"/>
              <w:numPr>
                <w:ilvl w:val="0"/>
                <w:numId w:val="110"/>
              </w:numPr>
              <w:overflowPunct/>
              <w:autoSpaceDE/>
              <w:autoSpaceDN/>
              <w:adjustRightInd/>
              <w:spacing w:before="100" w:beforeAutospacing="1" w:after="100" w:afterAutospacing="1" w:line="240" w:lineRule="auto"/>
              <w:jc w:val="left"/>
              <w:textAlignment w:val="auto"/>
            </w:pPr>
            <w:r>
              <w:t>completion of KYC/AML checks.</w:t>
            </w:r>
          </w:p>
          <w:p w14:paraId="59323C0E" w14:textId="77777777" w:rsidR="003B33F8" w:rsidRDefault="003B33F8" w:rsidP="003B33F8">
            <w:pPr>
              <w:pStyle w:val="StandardWeb"/>
            </w:pPr>
            <w:r>
              <w:rPr>
                <w:rStyle w:val="Fett"/>
              </w:rPr>
              <w:t>Transfer method:</w:t>
            </w:r>
          </w:p>
          <w:p w14:paraId="7736D94C" w14:textId="77777777" w:rsidR="003B33F8" w:rsidRDefault="003B33F8" w:rsidP="003B33F8">
            <w:pPr>
              <w:pStyle w:val="StandardWeb"/>
              <w:numPr>
                <w:ilvl w:val="0"/>
                <w:numId w:val="111"/>
              </w:numPr>
              <w:overflowPunct/>
              <w:autoSpaceDE/>
              <w:autoSpaceDN/>
              <w:adjustRightInd/>
              <w:spacing w:before="100" w:beforeAutospacing="1" w:after="100" w:afterAutospacing="1" w:line="240" w:lineRule="auto"/>
              <w:jc w:val="left"/>
              <w:textAlignment w:val="auto"/>
            </w:pPr>
            <w:r>
              <w:t>Tokens are transferred via an audited ERC-20 smart contract on Ethereum.</w:t>
            </w:r>
          </w:p>
          <w:p w14:paraId="0E3B2E40" w14:textId="77777777" w:rsidR="003B33F8" w:rsidRDefault="003B33F8" w:rsidP="003B33F8">
            <w:pPr>
              <w:pStyle w:val="StandardWeb"/>
              <w:numPr>
                <w:ilvl w:val="0"/>
                <w:numId w:val="111"/>
              </w:numPr>
              <w:overflowPunct/>
              <w:autoSpaceDE/>
              <w:autoSpaceDN/>
              <w:adjustRightInd/>
              <w:spacing w:before="100" w:beforeAutospacing="1" w:after="100" w:afterAutospacing="1" w:line="240" w:lineRule="auto"/>
              <w:jc w:val="left"/>
              <w:textAlignment w:val="auto"/>
            </w:pPr>
            <w:r>
              <w:t>Purchasers must provide a valid EVM-compatible self-custody wallet (e.g., MetaMask, Ledger, Trezor, Trust Wallet).</w:t>
            </w:r>
          </w:p>
          <w:p w14:paraId="0F6A0779" w14:textId="77777777" w:rsidR="003B33F8" w:rsidRDefault="003B33F8" w:rsidP="003B33F8">
            <w:pPr>
              <w:pStyle w:val="StandardWeb"/>
              <w:numPr>
                <w:ilvl w:val="0"/>
                <w:numId w:val="111"/>
              </w:numPr>
              <w:overflowPunct/>
              <w:autoSpaceDE/>
              <w:autoSpaceDN/>
              <w:adjustRightInd/>
              <w:spacing w:before="100" w:beforeAutospacing="1" w:after="100" w:afterAutospacing="1" w:line="240" w:lineRule="auto"/>
              <w:jc w:val="left"/>
              <w:textAlignment w:val="auto"/>
            </w:pPr>
            <w:r>
              <w:t>Transfers are irreversible once confirmed on-chain.</w:t>
            </w:r>
          </w:p>
          <w:p w14:paraId="71AD659A" w14:textId="77777777" w:rsidR="003B33F8" w:rsidRDefault="003B33F8" w:rsidP="003B33F8">
            <w:pPr>
              <w:pStyle w:val="StandardWeb"/>
            </w:pPr>
            <w:r>
              <w:t>Tokens under vesting remain locked in the smart contract and are released according to the predefined schedule.</w:t>
            </w:r>
          </w:p>
          <w:p w14:paraId="06CF8086" w14:textId="2DCE6462" w:rsidR="003B33F8" w:rsidRPr="00D03D3E" w:rsidRDefault="003B33F8" w:rsidP="00D03D3E">
            <w:pPr>
              <w:pStyle w:val="StandardWeb"/>
            </w:pPr>
          </w:p>
        </w:tc>
      </w:tr>
      <w:tr w:rsidR="00E03612" w:rsidRPr="002E4D67" w14:paraId="20CA614E" w14:textId="77777777" w:rsidTr="00D64090">
        <w:tc>
          <w:tcPr>
            <w:tcW w:w="1985" w:type="dxa"/>
          </w:tcPr>
          <w:p w14:paraId="0CC38EE5" w14:textId="4909356B" w:rsidR="00E03612" w:rsidRPr="002E4D67" w:rsidRDefault="00E03612" w:rsidP="00776455">
            <w:pPr>
              <w:pStyle w:val="berschrift1"/>
              <w:keepNext w:val="0"/>
              <w:keepLines w:val="0"/>
              <w:rPr>
                <w:lang w:val="en-US"/>
              </w:rPr>
            </w:pPr>
            <w:bookmarkStart w:id="268" w:name="_Toc212017925"/>
            <w:bookmarkStart w:id="269" w:name="_Toc213164188"/>
            <w:bookmarkStart w:id="270" w:name="_Toc213179171"/>
            <w:r w:rsidRPr="002E4D67">
              <w:rPr>
                <w:lang w:val="en-US"/>
              </w:rPr>
              <w:t>E.28 Transfer time schedule</w:t>
            </w:r>
            <w:bookmarkEnd w:id="268"/>
            <w:bookmarkEnd w:id="269"/>
            <w:bookmarkEnd w:id="270"/>
          </w:p>
        </w:tc>
        <w:tc>
          <w:tcPr>
            <w:tcW w:w="6371" w:type="dxa"/>
          </w:tcPr>
          <w:p w14:paraId="5216B2AA" w14:textId="77777777" w:rsidR="003B33F8" w:rsidRDefault="003B33F8" w:rsidP="003B33F8">
            <w:pPr>
              <w:pStyle w:val="StandardWeb"/>
            </w:pPr>
            <w:r>
              <w:t>The expected transfer timing is as follows:</w:t>
            </w:r>
          </w:p>
          <w:p w14:paraId="4BD1053D" w14:textId="77777777" w:rsidR="003B33F8" w:rsidRDefault="003B33F8" w:rsidP="003B33F8">
            <w:pPr>
              <w:pStyle w:val="StandardWeb"/>
              <w:numPr>
                <w:ilvl w:val="0"/>
                <w:numId w:val="112"/>
              </w:numPr>
              <w:overflowPunct/>
              <w:autoSpaceDE/>
              <w:autoSpaceDN/>
              <w:adjustRightInd/>
              <w:spacing w:before="100" w:beforeAutospacing="1" w:after="100" w:afterAutospacing="1" w:line="240" w:lineRule="auto"/>
              <w:jc w:val="left"/>
              <w:textAlignment w:val="auto"/>
            </w:pPr>
            <w:r>
              <w:rPr>
                <w:rStyle w:val="Fett"/>
              </w:rPr>
              <w:t>End of subscription period</w:t>
            </w:r>
          </w:p>
          <w:p w14:paraId="2CC2DB10" w14:textId="77777777" w:rsidR="003B33F8" w:rsidRDefault="003B33F8" w:rsidP="003B33F8">
            <w:pPr>
              <w:pStyle w:val="StandardWeb"/>
              <w:numPr>
                <w:ilvl w:val="0"/>
                <w:numId w:val="112"/>
              </w:numPr>
              <w:overflowPunct/>
              <w:autoSpaceDE/>
              <w:autoSpaceDN/>
              <w:adjustRightInd/>
              <w:spacing w:before="100" w:beforeAutospacing="1" w:after="100" w:afterAutospacing="1" w:line="240" w:lineRule="auto"/>
              <w:jc w:val="left"/>
              <w:textAlignment w:val="auto"/>
            </w:pPr>
            <w:r>
              <w:rPr>
                <w:rStyle w:val="Fett"/>
              </w:rPr>
              <w:t>Expiry of the 14-day withdrawal period</w:t>
            </w:r>
          </w:p>
          <w:p w14:paraId="4A5ACFDA" w14:textId="77777777" w:rsidR="003B33F8" w:rsidRDefault="003B33F8" w:rsidP="003B33F8">
            <w:pPr>
              <w:pStyle w:val="StandardWeb"/>
              <w:numPr>
                <w:ilvl w:val="0"/>
                <w:numId w:val="112"/>
              </w:numPr>
              <w:overflowPunct/>
              <w:autoSpaceDE/>
              <w:autoSpaceDN/>
              <w:adjustRightInd/>
              <w:spacing w:before="100" w:beforeAutospacing="1" w:after="100" w:afterAutospacing="1" w:line="240" w:lineRule="auto"/>
              <w:jc w:val="left"/>
              <w:textAlignment w:val="auto"/>
            </w:pPr>
            <w:r>
              <w:rPr>
                <w:rStyle w:val="Fett"/>
              </w:rPr>
              <w:t>Token Generation Event (TGE)</w:t>
            </w:r>
          </w:p>
          <w:p w14:paraId="18E4AC46" w14:textId="77777777" w:rsidR="003B33F8" w:rsidRDefault="003B33F8" w:rsidP="003B33F8">
            <w:pPr>
              <w:pStyle w:val="StandardWeb"/>
              <w:numPr>
                <w:ilvl w:val="0"/>
                <w:numId w:val="112"/>
              </w:numPr>
              <w:overflowPunct/>
              <w:autoSpaceDE/>
              <w:autoSpaceDN/>
              <w:adjustRightInd/>
              <w:spacing w:before="100" w:beforeAutospacing="1" w:after="100" w:afterAutospacing="1" w:line="240" w:lineRule="auto"/>
              <w:jc w:val="left"/>
              <w:textAlignment w:val="auto"/>
            </w:pPr>
            <w:r>
              <w:rPr>
                <w:rStyle w:val="Fett"/>
              </w:rPr>
              <w:t>Automated smart contract allocation</w:t>
            </w:r>
            <w:r>
              <w:t xml:space="preserve"> to purchaser wallets</w:t>
            </w:r>
          </w:p>
          <w:p w14:paraId="17B1B740" w14:textId="77777777" w:rsidR="003B33F8" w:rsidRDefault="003B33F8" w:rsidP="003B33F8">
            <w:pPr>
              <w:pStyle w:val="StandardWeb"/>
              <w:numPr>
                <w:ilvl w:val="0"/>
                <w:numId w:val="112"/>
              </w:numPr>
              <w:overflowPunct/>
              <w:autoSpaceDE/>
              <w:autoSpaceDN/>
              <w:adjustRightInd/>
              <w:spacing w:before="100" w:beforeAutospacing="1" w:after="100" w:afterAutospacing="1" w:line="240" w:lineRule="auto"/>
              <w:jc w:val="left"/>
              <w:textAlignment w:val="auto"/>
            </w:pPr>
            <w:r>
              <w:rPr>
                <w:rStyle w:val="Fett"/>
              </w:rPr>
              <w:t>Vesting releases</w:t>
            </w:r>
            <w:r>
              <w:t>, if applicable, according to published vesting schedule</w:t>
            </w:r>
          </w:p>
          <w:p w14:paraId="17CFC01C" w14:textId="77777777" w:rsidR="003B33F8" w:rsidRDefault="003B33F8" w:rsidP="003B33F8">
            <w:pPr>
              <w:pStyle w:val="StandardWeb"/>
            </w:pPr>
            <w:r>
              <w:t>Blockchain settlement times apply. Transfers become final upon on-chain confirmation.</w:t>
            </w:r>
          </w:p>
          <w:p w14:paraId="5077D8F0" w14:textId="77E72339" w:rsidR="003B33F8" w:rsidRPr="00776455" w:rsidRDefault="003B33F8" w:rsidP="00776455">
            <w:pPr>
              <w:pStyle w:val="StandardWeb"/>
              <w:jc w:val="left"/>
            </w:pPr>
          </w:p>
        </w:tc>
      </w:tr>
      <w:tr w:rsidR="00E03612" w:rsidRPr="002E4D67" w14:paraId="04DC4732" w14:textId="77777777" w:rsidTr="00D64090">
        <w:tc>
          <w:tcPr>
            <w:tcW w:w="1985" w:type="dxa"/>
          </w:tcPr>
          <w:p w14:paraId="1CE912F2" w14:textId="681B81BF" w:rsidR="00E03612" w:rsidRPr="002E4D67" w:rsidRDefault="00E03612" w:rsidP="00E03612">
            <w:pPr>
              <w:pStyle w:val="berschrift1"/>
              <w:keepNext w:val="0"/>
              <w:keepLines w:val="0"/>
              <w:rPr>
                <w:lang w:val="en-US"/>
              </w:rPr>
            </w:pPr>
            <w:bookmarkStart w:id="271" w:name="_Toc212017927"/>
            <w:bookmarkStart w:id="272" w:name="_Toc213164189"/>
            <w:bookmarkStart w:id="273" w:name="_Toc213179172"/>
            <w:r w:rsidRPr="002E4D67">
              <w:rPr>
                <w:lang w:val="en-US"/>
              </w:rPr>
              <w:t>E.29 Purchaser's technical requirements</w:t>
            </w:r>
            <w:bookmarkEnd w:id="271"/>
            <w:bookmarkEnd w:id="272"/>
            <w:bookmarkEnd w:id="273"/>
          </w:p>
        </w:tc>
        <w:tc>
          <w:tcPr>
            <w:tcW w:w="6371" w:type="dxa"/>
          </w:tcPr>
          <w:p w14:paraId="2382B67B" w14:textId="77777777" w:rsidR="003B33F8" w:rsidRDefault="003B33F8" w:rsidP="003B33F8">
            <w:pPr>
              <w:pStyle w:val="StandardWeb"/>
            </w:pPr>
            <w:r>
              <w:t>Purchasers require:</w:t>
            </w:r>
          </w:p>
          <w:p w14:paraId="689F4B9F" w14:textId="77777777" w:rsidR="003B33F8" w:rsidRDefault="003B33F8" w:rsidP="003B33F8">
            <w:pPr>
              <w:pStyle w:val="StandardWeb"/>
              <w:numPr>
                <w:ilvl w:val="0"/>
                <w:numId w:val="113"/>
              </w:numPr>
              <w:overflowPunct/>
              <w:autoSpaceDE/>
              <w:autoSpaceDN/>
              <w:adjustRightInd/>
              <w:spacing w:before="100" w:beforeAutospacing="1" w:after="100" w:afterAutospacing="1" w:line="240" w:lineRule="auto"/>
              <w:jc w:val="left"/>
              <w:textAlignment w:val="auto"/>
            </w:pPr>
            <w:r>
              <w:t>an EVM-compatible self-custody wallet (MetaMask, Ledger, Trezor, Trust Wallet, Coinbase Wallet),</w:t>
            </w:r>
          </w:p>
          <w:p w14:paraId="422502C8" w14:textId="77777777" w:rsidR="003B33F8" w:rsidRDefault="003B33F8" w:rsidP="003B33F8">
            <w:pPr>
              <w:pStyle w:val="StandardWeb"/>
              <w:numPr>
                <w:ilvl w:val="0"/>
                <w:numId w:val="113"/>
              </w:numPr>
              <w:overflowPunct/>
              <w:autoSpaceDE/>
              <w:autoSpaceDN/>
              <w:adjustRightInd/>
              <w:spacing w:before="100" w:beforeAutospacing="1" w:after="100" w:afterAutospacing="1" w:line="240" w:lineRule="auto"/>
              <w:jc w:val="left"/>
              <w:textAlignment w:val="auto"/>
            </w:pPr>
            <w:r>
              <w:t>sufficient ETH to cover gas fees,</w:t>
            </w:r>
          </w:p>
          <w:p w14:paraId="20E87B57" w14:textId="77777777" w:rsidR="003B33F8" w:rsidRDefault="003B33F8" w:rsidP="003B33F8">
            <w:pPr>
              <w:pStyle w:val="StandardWeb"/>
              <w:numPr>
                <w:ilvl w:val="0"/>
                <w:numId w:val="113"/>
              </w:numPr>
              <w:overflowPunct/>
              <w:autoSpaceDE/>
              <w:autoSpaceDN/>
              <w:adjustRightInd/>
              <w:spacing w:before="100" w:beforeAutospacing="1" w:after="100" w:afterAutospacing="1" w:line="240" w:lineRule="auto"/>
              <w:jc w:val="left"/>
              <w:textAlignment w:val="auto"/>
            </w:pPr>
            <w:r>
              <w:t>a modern browser or updated iOS/Android device,</w:t>
            </w:r>
          </w:p>
          <w:p w14:paraId="11D0736D" w14:textId="77777777" w:rsidR="003B33F8" w:rsidRDefault="003B33F8" w:rsidP="003B33F8">
            <w:pPr>
              <w:pStyle w:val="StandardWeb"/>
              <w:numPr>
                <w:ilvl w:val="0"/>
                <w:numId w:val="113"/>
              </w:numPr>
              <w:overflowPunct/>
              <w:autoSpaceDE/>
              <w:autoSpaceDN/>
              <w:adjustRightInd/>
              <w:spacing w:before="100" w:beforeAutospacing="1" w:after="100" w:afterAutospacing="1" w:line="240" w:lineRule="auto"/>
              <w:jc w:val="left"/>
              <w:textAlignment w:val="auto"/>
            </w:pPr>
            <w:r>
              <w:t>the ability to sign smart contract transactions,</w:t>
            </w:r>
          </w:p>
          <w:p w14:paraId="04E8E6A1" w14:textId="77777777" w:rsidR="003B33F8" w:rsidRDefault="003B33F8" w:rsidP="003B33F8">
            <w:pPr>
              <w:pStyle w:val="StandardWeb"/>
              <w:numPr>
                <w:ilvl w:val="0"/>
                <w:numId w:val="113"/>
              </w:numPr>
              <w:overflowPunct/>
              <w:autoSpaceDE/>
              <w:autoSpaceDN/>
              <w:adjustRightInd/>
              <w:spacing w:before="100" w:beforeAutospacing="1" w:after="100" w:afterAutospacing="1" w:line="240" w:lineRule="auto"/>
              <w:jc w:val="left"/>
              <w:textAlignment w:val="auto"/>
            </w:pPr>
            <w:r>
              <w:lastRenderedPageBreak/>
              <w:t>secure storage of private keys and recovery phrases.</w:t>
            </w:r>
          </w:p>
          <w:p w14:paraId="75E473A5" w14:textId="77777777" w:rsidR="003B33F8" w:rsidRDefault="003B33F8" w:rsidP="003B33F8">
            <w:pPr>
              <w:pStyle w:val="StandardWeb"/>
            </w:pPr>
            <w:r>
              <w:t>The issuer provides no custodial services.</w:t>
            </w:r>
          </w:p>
          <w:p w14:paraId="3146D168" w14:textId="4599C090" w:rsidR="003B33F8" w:rsidRPr="009C05B8" w:rsidRDefault="003B33F8" w:rsidP="009C05B8">
            <w:pPr>
              <w:pStyle w:val="StandardWeb"/>
            </w:pPr>
          </w:p>
        </w:tc>
      </w:tr>
      <w:tr w:rsidR="00E03612" w:rsidRPr="002E4D67" w14:paraId="252F49FA" w14:textId="77777777" w:rsidTr="00D64090">
        <w:tc>
          <w:tcPr>
            <w:tcW w:w="1985" w:type="dxa"/>
          </w:tcPr>
          <w:p w14:paraId="5A315BFC" w14:textId="2252B02B" w:rsidR="00E03612" w:rsidRPr="002E4D67" w:rsidRDefault="00E03612" w:rsidP="00E03612">
            <w:pPr>
              <w:pStyle w:val="berschrift1"/>
              <w:keepNext w:val="0"/>
              <w:keepLines w:val="0"/>
              <w:rPr>
                <w:lang w:val="en-US"/>
              </w:rPr>
            </w:pPr>
            <w:bookmarkStart w:id="274" w:name="_Toc212017929"/>
            <w:bookmarkStart w:id="275" w:name="_Toc213164190"/>
            <w:bookmarkStart w:id="276" w:name="_Toc213179173"/>
            <w:r w:rsidRPr="002E4D67">
              <w:rPr>
                <w:lang w:val="en-US"/>
              </w:rPr>
              <w:lastRenderedPageBreak/>
              <w:t>E.30 Crypto-asset service provider (CASP) name</w:t>
            </w:r>
            <w:bookmarkEnd w:id="274"/>
            <w:bookmarkEnd w:id="275"/>
            <w:bookmarkEnd w:id="276"/>
          </w:p>
        </w:tc>
        <w:tc>
          <w:tcPr>
            <w:tcW w:w="6371" w:type="dxa"/>
          </w:tcPr>
          <w:p w14:paraId="32A2A8B7" w14:textId="2EB76F61" w:rsidR="00E03612" w:rsidRPr="002E4D67" w:rsidRDefault="003B33F8" w:rsidP="003B33F8">
            <w:pPr>
              <w:pStyle w:val="Textkrper"/>
              <w:jc w:val="left"/>
              <w:rPr>
                <w:rFonts w:cstheme="minorHAnsi"/>
                <w:lang w:val="en-US"/>
              </w:rPr>
            </w:pPr>
            <w:r>
              <w:rPr>
                <w:rStyle w:val="Fett"/>
              </w:rPr>
              <w:t>Not applicable.</w:t>
            </w:r>
            <w:r>
              <w:br/>
              <w:t>No CASP services are used since no investor assets are handled during subscription or withdrawal periods.</w:t>
            </w:r>
          </w:p>
        </w:tc>
      </w:tr>
      <w:tr w:rsidR="00E03612" w:rsidRPr="002E4D67" w14:paraId="2745723F" w14:textId="77777777" w:rsidTr="00D64090">
        <w:tc>
          <w:tcPr>
            <w:tcW w:w="1985" w:type="dxa"/>
          </w:tcPr>
          <w:p w14:paraId="0205979A" w14:textId="3C995FC1" w:rsidR="00E03612" w:rsidRPr="002E4D67" w:rsidRDefault="00E03612" w:rsidP="00E03612">
            <w:pPr>
              <w:pStyle w:val="berschrift1"/>
              <w:keepNext w:val="0"/>
              <w:keepLines w:val="0"/>
              <w:rPr>
                <w:lang w:val="en-US"/>
              </w:rPr>
            </w:pPr>
            <w:bookmarkStart w:id="277" w:name="_Toc212017931"/>
            <w:bookmarkStart w:id="278" w:name="_Toc213164191"/>
            <w:bookmarkStart w:id="279" w:name="_Toc213179174"/>
            <w:r w:rsidRPr="002E4D67">
              <w:rPr>
                <w:lang w:val="en-US"/>
              </w:rPr>
              <w:t>E.31 CASP identifier</w:t>
            </w:r>
            <w:bookmarkEnd w:id="277"/>
            <w:bookmarkEnd w:id="278"/>
            <w:bookmarkEnd w:id="279"/>
          </w:p>
        </w:tc>
        <w:tc>
          <w:tcPr>
            <w:tcW w:w="6371" w:type="dxa"/>
          </w:tcPr>
          <w:p w14:paraId="2B95A771" w14:textId="578BA1AF" w:rsidR="00E03612" w:rsidRPr="002E4D67" w:rsidRDefault="00E03612" w:rsidP="00E03612">
            <w:pPr>
              <w:pStyle w:val="Textkrper"/>
              <w:rPr>
                <w:rFonts w:cstheme="minorHAnsi"/>
                <w:lang w:val="en-US"/>
              </w:rPr>
            </w:pPr>
            <w:r w:rsidRPr="002E4D67">
              <w:rPr>
                <w:rFonts w:cstheme="minorHAnsi"/>
                <w:lang w:val="en-US"/>
              </w:rPr>
              <w:t xml:space="preserve">Not applicable. </w:t>
            </w:r>
          </w:p>
        </w:tc>
      </w:tr>
      <w:tr w:rsidR="00E03612" w:rsidRPr="002E4D67" w14:paraId="52DA53F8" w14:textId="77777777" w:rsidTr="00D64090">
        <w:tc>
          <w:tcPr>
            <w:tcW w:w="1985" w:type="dxa"/>
          </w:tcPr>
          <w:p w14:paraId="666D3D97" w14:textId="39DC943F" w:rsidR="00E03612" w:rsidRPr="002E4D67" w:rsidRDefault="00E03612" w:rsidP="00E03612">
            <w:pPr>
              <w:pStyle w:val="berschrift1"/>
              <w:keepNext w:val="0"/>
              <w:keepLines w:val="0"/>
              <w:rPr>
                <w:lang w:val="en-US"/>
              </w:rPr>
            </w:pPr>
            <w:bookmarkStart w:id="280" w:name="_Toc212017933"/>
            <w:bookmarkStart w:id="281" w:name="_Toc213164192"/>
            <w:bookmarkStart w:id="282" w:name="_Toc213179175"/>
            <w:r w:rsidRPr="002E4D67">
              <w:rPr>
                <w:lang w:val="en-US"/>
              </w:rPr>
              <w:t>E.32 Placement form</w:t>
            </w:r>
            <w:bookmarkEnd w:id="280"/>
            <w:bookmarkEnd w:id="281"/>
            <w:bookmarkEnd w:id="282"/>
          </w:p>
        </w:tc>
        <w:tc>
          <w:tcPr>
            <w:tcW w:w="6371" w:type="dxa"/>
          </w:tcPr>
          <w:p w14:paraId="07E0B708" w14:textId="27DA4F0B" w:rsidR="00E03612" w:rsidRPr="002E4D67" w:rsidRDefault="003B33F8" w:rsidP="00E03612">
            <w:pPr>
              <w:pStyle w:val="Textkrper"/>
              <w:rPr>
                <w:rFonts w:cstheme="minorHAnsi"/>
                <w:lang w:val="en-US"/>
              </w:rPr>
            </w:pPr>
            <w:r>
              <w:rPr>
                <w:rStyle w:val="Fett"/>
              </w:rPr>
              <w:t>NTAV — No Third-Party Asset Verification required</w:t>
            </w:r>
            <w:r>
              <w:t>, as no third party handles client assets during subscription or withdrawal.</w:t>
            </w:r>
          </w:p>
        </w:tc>
      </w:tr>
      <w:tr w:rsidR="00E03612" w:rsidRPr="002E4D67" w14:paraId="0C95A6A9" w14:textId="77777777" w:rsidTr="00D64090">
        <w:tc>
          <w:tcPr>
            <w:tcW w:w="1985" w:type="dxa"/>
          </w:tcPr>
          <w:p w14:paraId="14125265" w14:textId="6BE0642E" w:rsidR="00E03612" w:rsidRPr="002E4D67" w:rsidRDefault="00E03612" w:rsidP="00E03612">
            <w:pPr>
              <w:pStyle w:val="berschrift1"/>
              <w:keepNext w:val="0"/>
              <w:keepLines w:val="0"/>
              <w:rPr>
                <w:lang w:val="en-US"/>
              </w:rPr>
            </w:pPr>
            <w:bookmarkStart w:id="283" w:name="_Toc212017935"/>
            <w:bookmarkStart w:id="284" w:name="_Toc213164193"/>
            <w:bookmarkStart w:id="285" w:name="_Toc213179176"/>
            <w:r w:rsidRPr="002E4D67">
              <w:rPr>
                <w:lang w:val="en-US"/>
              </w:rPr>
              <w:t>E.33 Trading platforms name</w:t>
            </w:r>
            <w:bookmarkEnd w:id="283"/>
            <w:bookmarkEnd w:id="284"/>
            <w:bookmarkEnd w:id="285"/>
          </w:p>
        </w:tc>
        <w:tc>
          <w:tcPr>
            <w:tcW w:w="6371" w:type="dxa"/>
          </w:tcPr>
          <w:p w14:paraId="1DEF9E39" w14:textId="56096FCB" w:rsidR="00E03612" w:rsidRPr="002E4D67" w:rsidRDefault="00E03612" w:rsidP="00E03612">
            <w:pPr>
              <w:pStyle w:val="Textkrper"/>
              <w:rPr>
                <w:rFonts w:cstheme="minorHAnsi"/>
                <w:lang w:val="en-US"/>
              </w:rPr>
            </w:pPr>
            <w:r w:rsidRPr="002E4D67">
              <w:rPr>
                <w:rFonts w:cstheme="minorHAnsi"/>
                <w:lang w:val="en-US"/>
              </w:rPr>
              <w:t xml:space="preserve">Not applicable. </w:t>
            </w:r>
          </w:p>
        </w:tc>
      </w:tr>
      <w:tr w:rsidR="00E03612" w:rsidRPr="002E4D67" w14:paraId="7BAA053E" w14:textId="77777777" w:rsidTr="00D64090">
        <w:tc>
          <w:tcPr>
            <w:tcW w:w="1985" w:type="dxa"/>
          </w:tcPr>
          <w:p w14:paraId="52ADCF2B" w14:textId="3D9F894C" w:rsidR="00E03612" w:rsidRPr="002E4D67" w:rsidRDefault="00E03612" w:rsidP="00E03612">
            <w:pPr>
              <w:pStyle w:val="berschrift1"/>
              <w:keepNext w:val="0"/>
              <w:keepLines w:val="0"/>
              <w:rPr>
                <w:lang w:val="en-US"/>
              </w:rPr>
            </w:pPr>
            <w:bookmarkStart w:id="286" w:name="_Toc212017937"/>
            <w:bookmarkStart w:id="287" w:name="_Toc213164194"/>
            <w:bookmarkStart w:id="288" w:name="_Toc213179177"/>
            <w:r w:rsidRPr="002E4D67">
              <w:rPr>
                <w:lang w:val="en-US"/>
              </w:rPr>
              <w:t>E.34 Trading Platforms Market identifier code (MIC)</w:t>
            </w:r>
            <w:bookmarkEnd w:id="286"/>
            <w:bookmarkEnd w:id="287"/>
            <w:bookmarkEnd w:id="288"/>
          </w:p>
        </w:tc>
        <w:tc>
          <w:tcPr>
            <w:tcW w:w="6371" w:type="dxa"/>
          </w:tcPr>
          <w:p w14:paraId="6F4B30D0" w14:textId="77777777" w:rsidR="00E03612" w:rsidRPr="002E4D67" w:rsidRDefault="00E03612" w:rsidP="00E03612">
            <w:pPr>
              <w:pStyle w:val="Textkrper"/>
              <w:rPr>
                <w:rFonts w:cstheme="minorHAnsi"/>
                <w:lang w:val="en-US"/>
              </w:rPr>
            </w:pPr>
            <w:r w:rsidRPr="002E4D67">
              <w:rPr>
                <w:rFonts w:cstheme="minorHAnsi"/>
                <w:lang w:val="en-US"/>
              </w:rPr>
              <w:t>Not applicable.</w:t>
            </w:r>
          </w:p>
          <w:p w14:paraId="70F17F35" w14:textId="43129E48" w:rsidR="00E03612" w:rsidRPr="002E4D67" w:rsidRDefault="00E03612" w:rsidP="00E03612">
            <w:pPr>
              <w:pStyle w:val="Textkrper"/>
              <w:rPr>
                <w:rFonts w:cstheme="minorHAnsi"/>
                <w:lang w:val="en-US"/>
              </w:rPr>
            </w:pPr>
          </w:p>
        </w:tc>
      </w:tr>
      <w:tr w:rsidR="00E03612" w:rsidRPr="002E4D67" w14:paraId="7245B733" w14:textId="77777777" w:rsidTr="00D64090">
        <w:tc>
          <w:tcPr>
            <w:tcW w:w="1985" w:type="dxa"/>
          </w:tcPr>
          <w:p w14:paraId="19EE0603" w14:textId="57DE212D" w:rsidR="00E03612" w:rsidRPr="002E4D67" w:rsidRDefault="00E03612" w:rsidP="00E03612">
            <w:pPr>
              <w:pStyle w:val="berschrift1"/>
              <w:keepNext w:val="0"/>
              <w:keepLines w:val="0"/>
              <w:rPr>
                <w:lang w:val="en-US"/>
              </w:rPr>
            </w:pPr>
            <w:bookmarkStart w:id="289" w:name="_Toc212017939"/>
            <w:bookmarkStart w:id="290" w:name="_Toc213164195"/>
            <w:bookmarkStart w:id="291" w:name="_Toc213179178"/>
            <w:r w:rsidRPr="002E4D67">
              <w:rPr>
                <w:lang w:val="en-US"/>
              </w:rPr>
              <w:t>E.35 Trading platforms access</w:t>
            </w:r>
            <w:bookmarkEnd w:id="289"/>
            <w:bookmarkEnd w:id="290"/>
            <w:bookmarkEnd w:id="291"/>
          </w:p>
        </w:tc>
        <w:tc>
          <w:tcPr>
            <w:tcW w:w="6371" w:type="dxa"/>
          </w:tcPr>
          <w:p w14:paraId="5A1C7071" w14:textId="77777777" w:rsidR="00E03612" w:rsidRPr="002E4D67" w:rsidRDefault="00E03612" w:rsidP="00E03612">
            <w:pPr>
              <w:pStyle w:val="Textkrper"/>
              <w:rPr>
                <w:rFonts w:cstheme="minorHAnsi"/>
                <w:lang w:val="en-US"/>
              </w:rPr>
            </w:pPr>
            <w:r w:rsidRPr="002E4D67">
              <w:rPr>
                <w:rFonts w:cstheme="minorHAnsi"/>
                <w:lang w:val="en-US"/>
              </w:rPr>
              <w:t>Not applicable.</w:t>
            </w:r>
          </w:p>
          <w:p w14:paraId="5B695098" w14:textId="730935F0" w:rsidR="00E03612" w:rsidRPr="002E4D67" w:rsidRDefault="00E03612" w:rsidP="00E03612">
            <w:pPr>
              <w:pStyle w:val="Textkrper"/>
              <w:rPr>
                <w:rFonts w:cstheme="minorHAnsi"/>
                <w:lang w:val="en-US"/>
              </w:rPr>
            </w:pPr>
          </w:p>
        </w:tc>
      </w:tr>
      <w:tr w:rsidR="00E03612" w:rsidRPr="002E4D67" w14:paraId="265EC113" w14:textId="77777777" w:rsidTr="00D64090">
        <w:tc>
          <w:tcPr>
            <w:tcW w:w="1985" w:type="dxa"/>
          </w:tcPr>
          <w:p w14:paraId="3A038FB0" w14:textId="074A3782" w:rsidR="00E03612" w:rsidRPr="002E4D67" w:rsidRDefault="00E03612" w:rsidP="00E03612">
            <w:pPr>
              <w:pStyle w:val="berschrift1"/>
              <w:keepNext w:val="0"/>
              <w:keepLines w:val="0"/>
              <w:rPr>
                <w:lang w:val="en-US"/>
              </w:rPr>
            </w:pPr>
            <w:bookmarkStart w:id="292" w:name="_Toc212017941"/>
            <w:bookmarkStart w:id="293" w:name="_Toc213164196"/>
            <w:bookmarkStart w:id="294" w:name="_Toc213179179"/>
            <w:r w:rsidRPr="002E4D67">
              <w:rPr>
                <w:lang w:val="en-US"/>
              </w:rPr>
              <w:t>E.36 Involved costs</w:t>
            </w:r>
            <w:bookmarkEnd w:id="292"/>
            <w:bookmarkEnd w:id="293"/>
            <w:bookmarkEnd w:id="294"/>
          </w:p>
        </w:tc>
        <w:tc>
          <w:tcPr>
            <w:tcW w:w="6371" w:type="dxa"/>
          </w:tcPr>
          <w:p w14:paraId="4C14F8AE" w14:textId="77777777" w:rsidR="00E03612" w:rsidRDefault="00E03612" w:rsidP="00E03612">
            <w:pPr>
              <w:pStyle w:val="Textkrper"/>
              <w:rPr>
                <w:rFonts w:cstheme="minorHAnsi"/>
                <w:lang w:val="en-US"/>
              </w:rPr>
            </w:pPr>
            <w:r w:rsidRPr="002E4D67">
              <w:rPr>
                <w:rFonts w:cstheme="minorHAnsi"/>
                <w:lang w:val="en-US"/>
              </w:rPr>
              <w:t xml:space="preserve">Not applicable. </w:t>
            </w:r>
          </w:p>
          <w:p w14:paraId="35AC1999" w14:textId="28A362B8" w:rsidR="003B33F8" w:rsidRPr="002E4D67" w:rsidRDefault="003B33F8" w:rsidP="00E03612">
            <w:pPr>
              <w:pStyle w:val="Textkrper"/>
              <w:rPr>
                <w:rFonts w:cstheme="minorHAnsi"/>
                <w:lang w:val="en-US"/>
              </w:rPr>
            </w:pPr>
            <w:r>
              <w:t>There are no trading platform costs associated with the public offering, as $WYND is not listed during the offering.</w:t>
            </w:r>
          </w:p>
        </w:tc>
      </w:tr>
      <w:tr w:rsidR="001073C5" w:rsidRPr="002E4D67" w14:paraId="4F86BAF5" w14:textId="77777777" w:rsidTr="00D64090">
        <w:tc>
          <w:tcPr>
            <w:tcW w:w="1985" w:type="dxa"/>
          </w:tcPr>
          <w:p w14:paraId="553A5F94" w14:textId="36D8A281" w:rsidR="001073C5" w:rsidRPr="002E4D67" w:rsidRDefault="001073C5" w:rsidP="001073C5">
            <w:pPr>
              <w:pStyle w:val="berschrift1"/>
              <w:keepNext w:val="0"/>
              <w:keepLines w:val="0"/>
              <w:rPr>
                <w:lang w:val="en-US"/>
              </w:rPr>
            </w:pPr>
            <w:bookmarkStart w:id="295" w:name="_Toc212017943"/>
            <w:bookmarkStart w:id="296" w:name="_Toc213164197"/>
            <w:bookmarkStart w:id="297" w:name="_Toc213179180"/>
            <w:r w:rsidRPr="002E4D67">
              <w:rPr>
                <w:lang w:val="en-US"/>
              </w:rPr>
              <w:t>E.37 Offer expenses</w:t>
            </w:r>
            <w:bookmarkEnd w:id="295"/>
            <w:bookmarkEnd w:id="296"/>
            <w:bookmarkEnd w:id="297"/>
          </w:p>
        </w:tc>
        <w:tc>
          <w:tcPr>
            <w:tcW w:w="6371" w:type="dxa"/>
          </w:tcPr>
          <w:p w14:paraId="1693513B" w14:textId="77777777" w:rsidR="001073C5" w:rsidRPr="002E4D67" w:rsidRDefault="001073C5" w:rsidP="001073C5">
            <w:pPr>
              <w:pStyle w:val="Textkrper"/>
              <w:jc w:val="left"/>
              <w:rPr>
                <w:rFonts w:cstheme="minorHAnsi"/>
                <w:lang w:val="en-US"/>
              </w:rPr>
            </w:pPr>
            <w:r w:rsidRPr="002E4D67">
              <w:rPr>
                <w:rFonts w:cstheme="minorHAnsi"/>
                <w:lang w:val="en-US"/>
              </w:rPr>
              <w:t xml:space="preserve">All expenses related to the public offering of the </w:t>
            </w:r>
            <w:r w:rsidRPr="002E4D67">
              <w:rPr>
                <w:rStyle w:val="Fett"/>
                <w:rFonts w:cstheme="minorHAnsi"/>
                <w:lang w:val="en-US"/>
              </w:rPr>
              <w:t>$WYND Utility Token</w:t>
            </w:r>
            <w:r w:rsidRPr="002E4D67">
              <w:rPr>
                <w:rFonts w:cstheme="minorHAnsi"/>
                <w:lang w:val="en-US"/>
              </w:rPr>
              <w:t xml:space="preserve"> are borne by </w:t>
            </w:r>
            <w:r w:rsidRPr="002E4D67">
              <w:rPr>
                <w:rStyle w:val="Fett"/>
                <w:rFonts w:cstheme="minorHAnsi"/>
                <w:lang w:val="en-US"/>
              </w:rPr>
              <w:t>WYND Capital GmbH</w:t>
            </w:r>
            <w:r w:rsidRPr="002E4D67">
              <w:rPr>
                <w:rFonts w:cstheme="minorHAnsi"/>
                <w:lang w:val="en-US"/>
              </w:rPr>
              <w:t>.</w:t>
            </w:r>
            <w:r w:rsidRPr="002E4D67">
              <w:rPr>
                <w:rFonts w:cstheme="minorHAnsi"/>
                <w:lang w:val="en-US"/>
              </w:rPr>
              <w:br/>
              <w:t xml:space="preserve">These expenses are financed from the company’s existing resources and are </w:t>
            </w:r>
            <w:r w:rsidRPr="002E4D67">
              <w:rPr>
                <w:rStyle w:val="Fett"/>
                <w:rFonts w:cstheme="minorHAnsi"/>
                <w:lang w:val="en-US"/>
              </w:rPr>
              <w:t>not deducted from purchaser funds</w:t>
            </w:r>
            <w:r w:rsidRPr="002E4D67">
              <w:rPr>
                <w:rFonts w:cstheme="minorHAnsi"/>
                <w:lang w:val="en-US"/>
              </w:rPr>
              <w:t xml:space="preserve"> collected during the token sale.</w:t>
            </w:r>
          </w:p>
          <w:p w14:paraId="2C9FF331" w14:textId="77777777" w:rsidR="001073C5" w:rsidRPr="002E4D67" w:rsidRDefault="001073C5" w:rsidP="001073C5">
            <w:pPr>
              <w:pStyle w:val="Textkrper"/>
              <w:jc w:val="left"/>
              <w:rPr>
                <w:rFonts w:cstheme="minorHAnsi"/>
                <w:lang w:val="en-US"/>
              </w:rPr>
            </w:pPr>
            <w:r w:rsidRPr="002E4D67">
              <w:rPr>
                <w:rFonts w:cstheme="minorHAnsi"/>
                <w:lang w:val="en-US"/>
              </w:rPr>
              <w:t xml:space="preserve">The total cost of the public offering is estimated at approximately </w:t>
            </w:r>
            <w:r w:rsidRPr="002E4D67">
              <w:rPr>
                <w:rStyle w:val="Fett"/>
                <w:rFonts w:cstheme="minorHAnsi"/>
                <w:lang w:val="en-US"/>
              </w:rPr>
              <w:t>EUR 520,000</w:t>
            </w:r>
            <w:r w:rsidRPr="002E4D67">
              <w:rPr>
                <w:rFonts w:cstheme="minorHAnsi"/>
                <w:lang w:val="en-US"/>
              </w:rPr>
              <w:t>, covering regulatory, legal, marketing, and technical costs associated with the MiCAR-compliant issuance process.</w:t>
            </w:r>
          </w:p>
          <w:tbl>
            <w:tblPr>
              <w:tblW w:w="6132" w:type="dxa"/>
              <w:tblCellSpacing w:w="15"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544"/>
              <w:gridCol w:w="2026"/>
              <w:gridCol w:w="1459"/>
              <w:gridCol w:w="1103"/>
            </w:tblGrid>
            <w:tr w:rsidR="001073C5" w:rsidRPr="002E4D67" w14:paraId="7FB71C9A" w14:textId="77777777" w:rsidTr="003A5DBF">
              <w:trPr>
                <w:tblHeader/>
                <w:tblCellSpacing w:w="15" w:type="dxa"/>
              </w:trPr>
              <w:tc>
                <w:tcPr>
                  <w:tcW w:w="1499" w:type="dxa"/>
                  <w:vAlign w:val="center"/>
                  <w:hideMark/>
                </w:tcPr>
                <w:p w14:paraId="0F415F78" w14:textId="77777777" w:rsidR="001073C5" w:rsidRPr="002E4D67" w:rsidRDefault="001073C5" w:rsidP="001073C5">
                  <w:pPr>
                    <w:pStyle w:val="Textkrper"/>
                    <w:rPr>
                      <w:rFonts w:cstheme="minorHAnsi"/>
                      <w:lang w:val="en-US"/>
                    </w:rPr>
                  </w:pPr>
                  <w:r w:rsidRPr="002E4D67">
                    <w:rPr>
                      <w:rStyle w:val="Fett"/>
                      <w:rFonts w:cstheme="minorHAnsi"/>
                      <w:lang w:val="en-US"/>
                    </w:rPr>
                    <w:lastRenderedPageBreak/>
                    <w:t>Category</w:t>
                  </w:r>
                </w:p>
              </w:tc>
              <w:tc>
                <w:tcPr>
                  <w:tcW w:w="1996" w:type="dxa"/>
                  <w:vAlign w:val="center"/>
                  <w:hideMark/>
                </w:tcPr>
                <w:p w14:paraId="59F828B4" w14:textId="77777777" w:rsidR="001073C5" w:rsidRPr="002E4D67" w:rsidRDefault="001073C5" w:rsidP="001073C5">
                  <w:pPr>
                    <w:pStyle w:val="Textkrper"/>
                    <w:rPr>
                      <w:rFonts w:cstheme="minorHAnsi"/>
                      <w:lang w:val="en-US"/>
                    </w:rPr>
                  </w:pPr>
                  <w:r w:rsidRPr="002E4D67">
                    <w:rPr>
                      <w:rStyle w:val="Fett"/>
                      <w:rFonts w:cstheme="minorHAnsi"/>
                      <w:lang w:val="en-US"/>
                    </w:rPr>
                    <w:t>Description</w:t>
                  </w:r>
                </w:p>
              </w:tc>
              <w:tc>
                <w:tcPr>
                  <w:tcW w:w="1429" w:type="dxa"/>
                  <w:vAlign w:val="center"/>
                  <w:hideMark/>
                </w:tcPr>
                <w:p w14:paraId="203E5E61" w14:textId="77777777" w:rsidR="001073C5" w:rsidRPr="002E4D67" w:rsidRDefault="001073C5" w:rsidP="001073C5">
                  <w:pPr>
                    <w:pStyle w:val="Textkrper"/>
                    <w:rPr>
                      <w:rFonts w:cstheme="minorHAnsi"/>
                      <w:lang w:val="en-US"/>
                    </w:rPr>
                  </w:pPr>
                  <w:r w:rsidRPr="002E4D67">
                    <w:rPr>
                      <w:rStyle w:val="Fett"/>
                      <w:rFonts w:cstheme="minorHAnsi"/>
                      <w:lang w:val="en-US"/>
                    </w:rPr>
                    <w:t>Estimated Amount (EUR)</w:t>
                  </w:r>
                </w:p>
              </w:tc>
              <w:tc>
                <w:tcPr>
                  <w:tcW w:w="1058" w:type="dxa"/>
                  <w:vAlign w:val="center"/>
                  <w:hideMark/>
                </w:tcPr>
                <w:p w14:paraId="13B772AD" w14:textId="77777777" w:rsidR="001073C5" w:rsidRPr="002E4D67" w:rsidRDefault="001073C5" w:rsidP="001073C5">
                  <w:pPr>
                    <w:pStyle w:val="Textkrper"/>
                    <w:rPr>
                      <w:rFonts w:cstheme="minorHAnsi"/>
                      <w:lang w:val="en-US"/>
                    </w:rPr>
                  </w:pPr>
                  <w:r w:rsidRPr="002E4D67">
                    <w:rPr>
                      <w:rStyle w:val="Fett"/>
                      <w:rFonts w:cstheme="minorHAnsi"/>
                      <w:lang w:val="en-US"/>
                    </w:rPr>
                    <w:t>Payment Type</w:t>
                  </w:r>
                </w:p>
              </w:tc>
            </w:tr>
            <w:tr w:rsidR="001073C5" w:rsidRPr="002E4D67" w14:paraId="1E473D05" w14:textId="77777777" w:rsidTr="003A5DBF">
              <w:trPr>
                <w:tblCellSpacing w:w="15" w:type="dxa"/>
              </w:trPr>
              <w:tc>
                <w:tcPr>
                  <w:tcW w:w="1499" w:type="dxa"/>
                  <w:vAlign w:val="center"/>
                  <w:hideMark/>
                </w:tcPr>
                <w:p w14:paraId="2ED14445" w14:textId="77777777" w:rsidR="001073C5" w:rsidRPr="002E4D67" w:rsidRDefault="001073C5" w:rsidP="001073C5">
                  <w:pPr>
                    <w:pStyle w:val="Textkrper"/>
                    <w:rPr>
                      <w:rFonts w:cstheme="minorHAnsi"/>
                      <w:lang w:val="en-US"/>
                    </w:rPr>
                  </w:pPr>
                  <w:r w:rsidRPr="002E4D67">
                    <w:rPr>
                      <w:rStyle w:val="Fett"/>
                      <w:rFonts w:cstheme="minorHAnsi"/>
                      <w:lang w:val="en-US"/>
                    </w:rPr>
                    <w:t>Legal &amp; Compliance</w:t>
                  </w:r>
                </w:p>
              </w:tc>
              <w:tc>
                <w:tcPr>
                  <w:tcW w:w="1996" w:type="dxa"/>
                  <w:vAlign w:val="center"/>
                  <w:hideMark/>
                </w:tcPr>
                <w:p w14:paraId="2D34DC5D" w14:textId="77777777" w:rsidR="001073C5" w:rsidRPr="002E4D67" w:rsidRDefault="001073C5" w:rsidP="001073C5">
                  <w:pPr>
                    <w:pStyle w:val="Textkrper"/>
                    <w:rPr>
                      <w:rFonts w:cstheme="minorHAnsi"/>
                      <w:lang w:val="en-US"/>
                    </w:rPr>
                  </w:pPr>
                  <w:r w:rsidRPr="002E4D67">
                    <w:rPr>
                      <w:rFonts w:cstheme="minorHAnsi"/>
                      <w:lang w:val="en-US"/>
                    </w:rPr>
                    <w:t>Legal advisory , MiCAR Whitepaper preparation, BaFin coordination</w:t>
                  </w:r>
                </w:p>
              </w:tc>
              <w:tc>
                <w:tcPr>
                  <w:tcW w:w="1429" w:type="dxa"/>
                  <w:vAlign w:val="center"/>
                  <w:hideMark/>
                </w:tcPr>
                <w:p w14:paraId="5FF6B8B2" w14:textId="77777777" w:rsidR="001073C5" w:rsidRPr="002E4D67" w:rsidRDefault="001073C5" w:rsidP="001073C5">
                  <w:pPr>
                    <w:pStyle w:val="Textkrper"/>
                    <w:rPr>
                      <w:rFonts w:cstheme="minorHAnsi"/>
                      <w:lang w:val="en-US"/>
                    </w:rPr>
                  </w:pPr>
                  <w:r w:rsidRPr="002E4D67">
                    <w:rPr>
                      <w:rFonts w:cstheme="minorHAnsi"/>
                      <w:lang w:val="en-US"/>
                    </w:rPr>
                    <w:t>120,000 €</w:t>
                  </w:r>
                </w:p>
              </w:tc>
              <w:tc>
                <w:tcPr>
                  <w:tcW w:w="1058" w:type="dxa"/>
                  <w:vAlign w:val="center"/>
                  <w:hideMark/>
                </w:tcPr>
                <w:p w14:paraId="1718677F" w14:textId="77777777" w:rsidR="001073C5" w:rsidRPr="002E4D67" w:rsidRDefault="001073C5" w:rsidP="001073C5">
                  <w:pPr>
                    <w:pStyle w:val="Textkrper"/>
                    <w:rPr>
                      <w:rFonts w:cstheme="minorHAnsi"/>
                      <w:lang w:val="en-US"/>
                    </w:rPr>
                  </w:pPr>
                  <w:r w:rsidRPr="002E4D67">
                    <w:rPr>
                      <w:rFonts w:cstheme="minorHAnsi"/>
                      <w:lang w:val="en-US"/>
                    </w:rPr>
                    <w:t>Fiat (EUR)</w:t>
                  </w:r>
                </w:p>
              </w:tc>
            </w:tr>
            <w:tr w:rsidR="001073C5" w:rsidRPr="002E4D67" w14:paraId="50BC2561" w14:textId="77777777" w:rsidTr="003A5DBF">
              <w:trPr>
                <w:tblCellSpacing w:w="15" w:type="dxa"/>
              </w:trPr>
              <w:tc>
                <w:tcPr>
                  <w:tcW w:w="1499" w:type="dxa"/>
                  <w:vAlign w:val="center"/>
                  <w:hideMark/>
                </w:tcPr>
                <w:p w14:paraId="2DFCA00A" w14:textId="77777777" w:rsidR="001073C5" w:rsidRPr="002E4D67" w:rsidRDefault="001073C5" w:rsidP="001073C5">
                  <w:pPr>
                    <w:pStyle w:val="Textkrper"/>
                    <w:rPr>
                      <w:rFonts w:cstheme="minorHAnsi"/>
                      <w:lang w:val="en-US"/>
                    </w:rPr>
                  </w:pPr>
                  <w:r w:rsidRPr="002E4D67">
                    <w:rPr>
                      <w:rStyle w:val="Fett"/>
                      <w:rFonts w:cstheme="minorHAnsi"/>
                      <w:lang w:val="en-US"/>
                    </w:rPr>
                    <w:t>Technology &amp; Platform</w:t>
                  </w:r>
                </w:p>
              </w:tc>
              <w:tc>
                <w:tcPr>
                  <w:tcW w:w="1996" w:type="dxa"/>
                  <w:vAlign w:val="center"/>
                  <w:hideMark/>
                </w:tcPr>
                <w:p w14:paraId="4F947473" w14:textId="77777777" w:rsidR="001073C5" w:rsidRPr="002E4D67" w:rsidRDefault="001073C5" w:rsidP="001073C5">
                  <w:pPr>
                    <w:pStyle w:val="Textkrper"/>
                    <w:rPr>
                      <w:rFonts w:cstheme="minorHAnsi"/>
                      <w:lang w:val="en-US"/>
                    </w:rPr>
                  </w:pPr>
                  <w:r w:rsidRPr="002E4D67">
                    <w:rPr>
                      <w:rFonts w:cstheme="minorHAnsi"/>
                      <w:lang w:val="en-US"/>
                    </w:rPr>
                    <w:t>Smart contract audit, token issuance infrastructure (Bitbond GmbH KYC/AML systems</w:t>
                  </w:r>
                </w:p>
              </w:tc>
              <w:tc>
                <w:tcPr>
                  <w:tcW w:w="1429" w:type="dxa"/>
                  <w:vAlign w:val="center"/>
                  <w:hideMark/>
                </w:tcPr>
                <w:p w14:paraId="0D44514C" w14:textId="77777777" w:rsidR="001073C5" w:rsidRPr="002E4D67" w:rsidRDefault="001073C5" w:rsidP="001073C5">
                  <w:pPr>
                    <w:pStyle w:val="Textkrper"/>
                    <w:rPr>
                      <w:rFonts w:cstheme="minorHAnsi"/>
                      <w:lang w:val="en-US"/>
                    </w:rPr>
                  </w:pPr>
                  <w:r w:rsidRPr="002E4D67">
                    <w:rPr>
                      <w:rFonts w:cstheme="minorHAnsi"/>
                      <w:lang w:val="en-US"/>
                    </w:rPr>
                    <w:t>80,000 €</w:t>
                  </w:r>
                </w:p>
              </w:tc>
              <w:tc>
                <w:tcPr>
                  <w:tcW w:w="1058" w:type="dxa"/>
                  <w:vAlign w:val="center"/>
                  <w:hideMark/>
                </w:tcPr>
                <w:p w14:paraId="10EF8B35" w14:textId="77777777" w:rsidR="001073C5" w:rsidRPr="002E4D67" w:rsidRDefault="001073C5" w:rsidP="001073C5">
                  <w:pPr>
                    <w:pStyle w:val="Textkrper"/>
                    <w:rPr>
                      <w:rFonts w:cstheme="minorHAnsi"/>
                      <w:lang w:val="en-US"/>
                    </w:rPr>
                  </w:pPr>
                  <w:r w:rsidRPr="002E4D67">
                    <w:rPr>
                      <w:rFonts w:cstheme="minorHAnsi"/>
                      <w:lang w:val="en-US"/>
                    </w:rPr>
                    <w:t>Fiat / partial in crypto (ETH)</w:t>
                  </w:r>
                </w:p>
              </w:tc>
            </w:tr>
            <w:tr w:rsidR="001073C5" w:rsidRPr="002E4D67" w14:paraId="42AA1D11" w14:textId="77777777" w:rsidTr="003A5DBF">
              <w:trPr>
                <w:tblCellSpacing w:w="15" w:type="dxa"/>
              </w:trPr>
              <w:tc>
                <w:tcPr>
                  <w:tcW w:w="1499" w:type="dxa"/>
                  <w:vAlign w:val="center"/>
                  <w:hideMark/>
                </w:tcPr>
                <w:p w14:paraId="5CF2CBC2" w14:textId="77777777" w:rsidR="001073C5" w:rsidRPr="002E4D67" w:rsidRDefault="001073C5" w:rsidP="001073C5">
                  <w:pPr>
                    <w:pStyle w:val="Textkrper"/>
                    <w:rPr>
                      <w:rFonts w:cstheme="minorHAnsi"/>
                      <w:lang w:val="en-US"/>
                    </w:rPr>
                  </w:pPr>
                  <w:r w:rsidRPr="002E4D67">
                    <w:rPr>
                      <w:rStyle w:val="Fett"/>
                      <w:rFonts w:cstheme="minorHAnsi"/>
                      <w:lang w:val="en-US"/>
                    </w:rPr>
                    <w:t>Marketing &amp; Communication</w:t>
                  </w:r>
                </w:p>
              </w:tc>
              <w:tc>
                <w:tcPr>
                  <w:tcW w:w="1996" w:type="dxa"/>
                  <w:vAlign w:val="center"/>
                  <w:hideMark/>
                </w:tcPr>
                <w:p w14:paraId="697FC34A" w14:textId="77777777" w:rsidR="001073C5" w:rsidRPr="002E4D67" w:rsidRDefault="001073C5" w:rsidP="001073C5">
                  <w:pPr>
                    <w:pStyle w:val="Textkrper"/>
                    <w:rPr>
                      <w:rFonts w:cstheme="minorHAnsi"/>
                      <w:lang w:val="en-US"/>
                    </w:rPr>
                  </w:pPr>
                  <w:r w:rsidRPr="002E4D67">
                    <w:rPr>
                      <w:rFonts w:cstheme="minorHAnsi"/>
                      <w:lang w:val="en-US"/>
                    </w:rPr>
                    <w:t>Digital campaign, video production, website relaunch, investor relations</w:t>
                  </w:r>
                </w:p>
              </w:tc>
              <w:tc>
                <w:tcPr>
                  <w:tcW w:w="1429" w:type="dxa"/>
                  <w:vAlign w:val="center"/>
                  <w:hideMark/>
                </w:tcPr>
                <w:p w14:paraId="6573EAB6" w14:textId="77777777" w:rsidR="001073C5" w:rsidRPr="002E4D67" w:rsidRDefault="001073C5" w:rsidP="001073C5">
                  <w:pPr>
                    <w:pStyle w:val="Textkrper"/>
                    <w:rPr>
                      <w:rFonts w:cstheme="minorHAnsi"/>
                      <w:b/>
                      <w:lang w:val="en-US"/>
                    </w:rPr>
                  </w:pPr>
                  <w:r w:rsidRPr="002E4D67">
                    <w:rPr>
                      <w:rStyle w:val="Fett"/>
                      <w:rFonts w:cstheme="minorHAnsi"/>
                      <w:b w:val="0"/>
                      <w:bCs w:val="0"/>
                      <w:lang w:val="en-US"/>
                    </w:rPr>
                    <w:t>200,000 €</w:t>
                  </w:r>
                </w:p>
              </w:tc>
              <w:tc>
                <w:tcPr>
                  <w:tcW w:w="1058" w:type="dxa"/>
                  <w:vAlign w:val="center"/>
                  <w:hideMark/>
                </w:tcPr>
                <w:p w14:paraId="2B00397C" w14:textId="77777777" w:rsidR="001073C5" w:rsidRPr="002E4D67" w:rsidRDefault="001073C5" w:rsidP="001073C5">
                  <w:pPr>
                    <w:pStyle w:val="Textkrper"/>
                    <w:rPr>
                      <w:rFonts w:cstheme="minorHAnsi"/>
                      <w:lang w:val="en-US"/>
                    </w:rPr>
                  </w:pPr>
                  <w:r w:rsidRPr="002E4D67">
                    <w:rPr>
                      <w:rFonts w:cstheme="minorHAnsi"/>
                      <w:lang w:val="en-US"/>
                    </w:rPr>
                    <w:t>Fiat (EUR)</w:t>
                  </w:r>
                </w:p>
              </w:tc>
            </w:tr>
            <w:tr w:rsidR="001073C5" w:rsidRPr="002E4D67" w14:paraId="522A19AC" w14:textId="77777777" w:rsidTr="003A5DBF">
              <w:trPr>
                <w:tblCellSpacing w:w="15" w:type="dxa"/>
              </w:trPr>
              <w:tc>
                <w:tcPr>
                  <w:tcW w:w="1499" w:type="dxa"/>
                  <w:vAlign w:val="center"/>
                  <w:hideMark/>
                </w:tcPr>
                <w:p w14:paraId="1329F8E9" w14:textId="77777777" w:rsidR="001073C5" w:rsidRPr="002E4D67" w:rsidRDefault="001073C5" w:rsidP="001073C5">
                  <w:pPr>
                    <w:pStyle w:val="Textkrper"/>
                    <w:rPr>
                      <w:rFonts w:cstheme="minorHAnsi"/>
                      <w:lang w:val="en-US"/>
                    </w:rPr>
                  </w:pPr>
                  <w:r w:rsidRPr="002E4D67">
                    <w:rPr>
                      <w:rStyle w:val="Fett"/>
                      <w:rFonts w:cstheme="minorHAnsi"/>
                      <w:lang w:val="en-US"/>
                    </w:rPr>
                    <w:t>Advisory &amp; Project Management</w:t>
                  </w:r>
                </w:p>
              </w:tc>
              <w:tc>
                <w:tcPr>
                  <w:tcW w:w="1996" w:type="dxa"/>
                  <w:vAlign w:val="center"/>
                  <w:hideMark/>
                </w:tcPr>
                <w:p w14:paraId="4C3EAD0E" w14:textId="77777777" w:rsidR="001073C5" w:rsidRPr="002E4D67" w:rsidRDefault="001073C5" w:rsidP="001073C5">
                  <w:pPr>
                    <w:pStyle w:val="Textkrper"/>
                    <w:rPr>
                      <w:rFonts w:cstheme="minorHAnsi"/>
                      <w:lang w:val="en-US"/>
                    </w:rPr>
                  </w:pPr>
                  <w:r w:rsidRPr="002E4D67">
                    <w:rPr>
                      <w:rFonts w:cstheme="minorHAnsi"/>
                      <w:lang w:val="en-US"/>
                    </w:rPr>
                    <w:t>Strategic consulting, project coordination, documentation, translation</w:t>
                  </w:r>
                </w:p>
              </w:tc>
              <w:tc>
                <w:tcPr>
                  <w:tcW w:w="1429" w:type="dxa"/>
                  <w:vAlign w:val="center"/>
                  <w:hideMark/>
                </w:tcPr>
                <w:p w14:paraId="1B81C496" w14:textId="77777777" w:rsidR="001073C5" w:rsidRPr="002E4D67" w:rsidRDefault="001073C5" w:rsidP="001073C5">
                  <w:pPr>
                    <w:pStyle w:val="Textkrper"/>
                    <w:rPr>
                      <w:rFonts w:cstheme="minorHAnsi"/>
                      <w:lang w:val="en-US"/>
                    </w:rPr>
                  </w:pPr>
                  <w:r w:rsidRPr="002E4D67">
                    <w:rPr>
                      <w:rFonts w:cstheme="minorHAnsi"/>
                      <w:lang w:val="en-US"/>
                    </w:rPr>
                    <w:t>60,000 €</w:t>
                  </w:r>
                </w:p>
              </w:tc>
              <w:tc>
                <w:tcPr>
                  <w:tcW w:w="1058" w:type="dxa"/>
                  <w:vAlign w:val="center"/>
                  <w:hideMark/>
                </w:tcPr>
                <w:p w14:paraId="5C5F6171" w14:textId="77777777" w:rsidR="001073C5" w:rsidRPr="002E4D67" w:rsidRDefault="001073C5" w:rsidP="001073C5">
                  <w:pPr>
                    <w:pStyle w:val="Textkrper"/>
                    <w:rPr>
                      <w:rFonts w:cstheme="minorHAnsi"/>
                      <w:lang w:val="en-US"/>
                    </w:rPr>
                  </w:pPr>
                  <w:r w:rsidRPr="002E4D67">
                    <w:rPr>
                      <w:rFonts w:cstheme="minorHAnsi"/>
                      <w:lang w:val="en-US"/>
                    </w:rPr>
                    <w:t>Fiat (EUR)</w:t>
                  </w:r>
                </w:p>
              </w:tc>
            </w:tr>
            <w:tr w:rsidR="001073C5" w:rsidRPr="002E4D67" w14:paraId="5903D862" w14:textId="77777777" w:rsidTr="003A5DBF">
              <w:trPr>
                <w:tblCellSpacing w:w="15" w:type="dxa"/>
              </w:trPr>
              <w:tc>
                <w:tcPr>
                  <w:tcW w:w="1499" w:type="dxa"/>
                  <w:vAlign w:val="center"/>
                  <w:hideMark/>
                </w:tcPr>
                <w:p w14:paraId="3427AB5C" w14:textId="77777777" w:rsidR="001073C5" w:rsidRPr="002E4D67" w:rsidRDefault="001073C5" w:rsidP="001073C5">
                  <w:pPr>
                    <w:pStyle w:val="Textkrper"/>
                    <w:rPr>
                      <w:rFonts w:cstheme="minorHAnsi"/>
                      <w:lang w:val="en-US"/>
                    </w:rPr>
                  </w:pPr>
                  <w:r w:rsidRPr="002E4D67">
                    <w:rPr>
                      <w:rStyle w:val="Fett"/>
                      <w:rFonts w:cstheme="minorHAnsi"/>
                      <w:lang w:val="en-US"/>
                    </w:rPr>
                    <w:t>Administration &amp; Filing Costs</w:t>
                  </w:r>
                </w:p>
              </w:tc>
              <w:tc>
                <w:tcPr>
                  <w:tcW w:w="1996" w:type="dxa"/>
                  <w:vAlign w:val="center"/>
                  <w:hideMark/>
                </w:tcPr>
                <w:p w14:paraId="70E5B406" w14:textId="77777777" w:rsidR="001073C5" w:rsidRPr="002E4D67" w:rsidRDefault="001073C5" w:rsidP="001073C5">
                  <w:pPr>
                    <w:pStyle w:val="Textkrper"/>
                    <w:rPr>
                      <w:rFonts w:cstheme="minorHAnsi"/>
                      <w:lang w:val="en-US"/>
                    </w:rPr>
                  </w:pPr>
                  <w:r w:rsidRPr="002E4D67">
                    <w:rPr>
                      <w:rFonts w:cstheme="minorHAnsi"/>
                      <w:lang w:val="en-US"/>
                    </w:rPr>
                    <w:t>Notary, registration, accounting, and administrative processing</w:t>
                  </w:r>
                </w:p>
              </w:tc>
              <w:tc>
                <w:tcPr>
                  <w:tcW w:w="1429" w:type="dxa"/>
                  <w:vAlign w:val="center"/>
                  <w:hideMark/>
                </w:tcPr>
                <w:p w14:paraId="37382E96" w14:textId="77777777" w:rsidR="001073C5" w:rsidRPr="002E4D67" w:rsidRDefault="001073C5" w:rsidP="001073C5">
                  <w:pPr>
                    <w:pStyle w:val="Textkrper"/>
                    <w:rPr>
                      <w:rFonts w:cstheme="minorHAnsi"/>
                      <w:lang w:val="en-US"/>
                    </w:rPr>
                  </w:pPr>
                  <w:r w:rsidRPr="002E4D67">
                    <w:rPr>
                      <w:rFonts w:cstheme="minorHAnsi"/>
                      <w:lang w:val="en-US"/>
                    </w:rPr>
                    <w:t>60,000 €</w:t>
                  </w:r>
                </w:p>
              </w:tc>
              <w:tc>
                <w:tcPr>
                  <w:tcW w:w="1058" w:type="dxa"/>
                  <w:vAlign w:val="center"/>
                  <w:hideMark/>
                </w:tcPr>
                <w:p w14:paraId="015FF342" w14:textId="77777777" w:rsidR="001073C5" w:rsidRPr="002E4D67" w:rsidRDefault="001073C5" w:rsidP="001073C5">
                  <w:pPr>
                    <w:pStyle w:val="Textkrper"/>
                    <w:rPr>
                      <w:rFonts w:cstheme="minorHAnsi"/>
                      <w:lang w:val="en-US"/>
                    </w:rPr>
                  </w:pPr>
                  <w:r w:rsidRPr="002E4D67">
                    <w:rPr>
                      <w:rFonts w:cstheme="minorHAnsi"/>
                      <w:lang w:val="en-US"/>
                    </w:rPr>
                    <w:t>Fiat (EUR)</w:t>
                  </w:r>
                </w:p>
              </w:tc>
            </w:tr>
            <w:tr w:rsidR="001073C5" w:rsidRPr="002E4D67" w14:paraId="5466D9FF" w14:textId="77777777" w:rsidTr="003A5DBF">
              <w:trPr>
                <w:tblCellSpacing w:w="15" w:type="dxa"/>
              </w:trPr>
              <w:tc>
                <w:tcPr>
                  <w:tcW w:w="1499" w:type="dxa"/>
                  <w:vAlign w:val="center"/>
                  <w:hideMark/>
                </w:tcPr>
                <w:p w14:paraId="0391044B" w14:textId="77777777" w:rsidR="001073C5" w:rsidRPr="002E4D67" w:rsidRDefault="001073C5" w:rsidP="001073C5">
                  <w:pPr>
                    <w:pStyle w:val="Textkrper"/>
                    <w:rPr>
                      <w:rFonts w:cstheme="minorHAnsi"/>
                      <w:lang w:val="en-US"/>
                    </w:rPr>
                  </w:pPr>
                  <w:r w:rsidRPr="002E4D67">
                    <w:rPr>
                      <w:rStyle w:val="Fett"/>
                      <w:rFonts w:cstheme="minorHAnsi"/>
                      <w:lang w:val="en-US"/>
                    </w:rPr>
                    <w:t>Total Estimated Offering Expenses</w:t>
                  </w:r>
                </w:p>
              </w:tc>
              <w:tc>
                <w:tcPr>
                  <w:tcW w:w="1996" w:type="dxa"/>
                  <w:vAlign w:val="center"/>
                  <w:hideMark/>
                </w:tcPr>
                <w:p w14:paraId="6D5E6445" w14:textId="77777777" w:rsidR="001073C5" w:rsidRPr="002E4D67" w:rsidRDefault="001073C5" w:rsidP="001073C5">
                  <w:pPr>
                    <w:pStyle w:val="Textkrper"/>
                    <w:rPr>
                      <w:rFonts w:cstheme="minorHAnsi"/>
                      <w:lang w:val="en-US"/>
                    </w:rPr>
                  </w:pPr>
                </w:p>
              </w:tc>
              <w:tc>
                <w:tcPr>
                  <w:tcW w:w="1429" w:type="dxa"/>
                  <w:vAlign w:val="center"/>
                  <w:hideMark/>
                </w:tcPr>
                <w:p w14:paraId="59399FA7" w14:textId="77777777" w:rsidR="001073C5" w:rsidRPr="002E4D67" w:rsidRDefault="001073C5" w:rsidP="001073C5">
                  <w:pPr>
                    <w:pStyle w:val="Textkrper"/>
                    <w:rPr>
                      <w:rFonts w:cstheme="minorHAnsi"/>
                      <w:lang w:val="en-US"/>
                    </w:rPr>
                  </w:pPr>
                  <w:r w:rsidRPr="002E4D67">
                    <w:rPr>
                      <w:rStyle w:val="Fett"/>
                      <w:rFonts w:cstheme="minorHAnsi"/>
                      <w:lang w:val="en-US"/>
                    </w:rPr>
                    <w:t>≈ 520,000 €</w:t>
                  </w:r>
                </w:p>
              </w:tc>
              <w:tc>
                <w:tcPr>
                  <w:tcW w:w="1058" w:type="dxa"/>
                  <w:vAlign w:val="center"/>
                  <w:hideMark/>
                </w:tcPr>
                <w:p w14:paraId="12AEBBC9" w14:textId="77777777" w:rsidR="001073C5" w:rsidRPr="002E4D67" w:rsidRDefault="001073C5" w:rsidP="001073C5">
                  <w:pPr>
                    <w:pStyle w:val="Textkrper"/>
                    <w:rPr>
                      <w:rFonts w:cstheme="minorHAnsi"/>
                      <w:lang w:val="en-US"/>
                    </w:rPr>
                  </w:pPr>
                  <w:r w:rsidRPr="002E4D67">
                    <w:rPr>
                      <w:rFonts w:cstheme="minorHAnsi"/>
                      <w:lang w:val="en-US"/>
                    </w:rPr>
                    <w:t>—</w:t>
                  </w:r>
                </w:p>
              </w:tc>
            </w:tr>
          </w:tbl>
          <w:p w14:paraId="08C5EC86" w14:textId="77777777" w:rsidR="001073C5" w:rsidRPr="002E4D67" w:rsidRDefault="001073C5" w:rsidP="005F61FB">
            <w:pPr>
              <w:pStyle w:val="Textkrper"/>
              <w:jc w:val="left"/>
              <w:rPr>
                <w:rFonts w:cstheme="minorHAnsi"/>
                <w:lang w:val="en-US"/>
              </w:rPr>
            </w:pPr>
            <w:r w:rsidRPr="002E4D67">
              <w:rPr>
                <w:rFonts w:cstheme="minorHAnsi"/>
                <w:lang w:val="en-US"/>
              </w:rPr>
              <w:t>No additional issuance, listing, or placement fees are charged to purchasers.</w:t>
            </w:r>
          </w:p>
          <w:p w14:paraId="2C65915F" w14:textId="7E37AF7B" w:rsidR="001073C5" w:rsidRPr="002E4D67" w:rsidRDefault="001073C5" w:rsidP="005F61FB">
            <w:pPr>
              <w:pStyle w:val="Textkrper"/>
              <w:jc w:val="left"/>
              <w:rPr>
                <w:rFonts w:cstheme="minorHAnsi"/>
                <w:lang w:val="en-US"/>
              </w:rPr>
            </w:pPr>
            <w:r w:rsidRPr="002E4D67">
              <w:rPr>
                <w:rFonts w:cstheme="minorHAnsi"/>
                <w:lang w:val="en-US"/>
              </w:rPr>
              <w:t>All partners and service providers involved in the offering operate under written service agreements.</w:t>
            </w:r>
            <w:r w:rsidRPr="002E4D67">
              <w:rPr>
                <w:rFonts w:cstheme="minorHAnsi"/>
                <w:lang w:val="en-US"/>
              </w:rPr>
              <w:br/>
              <w:t>No remuneration is linked to the success or subscription volume of the token sale.</w:t>
            </w:r>
          </w:p>
        </w:tc>
      </w:tr>
      <w:tr w:rsidR="001073C5" w:rsidRPr="002E4D67" w14:paraId="0F1810D3" w14:textId="77777777" w:rsidTr="00D64090">
        <w:tc>
          <w:tcPr>
            <w:tcW w:w="1985" w:type="dxa"/>
          </w:tcPr>
          <w:p w14:paraId="08350CCA" w14:textId="5DABD4E9" w:rsidR="001073C5" w:rsidRPr="002E4D67" w:rsidRDefault="001073C5" w:rsidP="001073C5">
            <w:pPr>
              <w:pStyle w:val="berschrift1"/>
              <w:keepNext w:val="0"/>
              <w:keepLines w:val="0"/>
              <w:rPr>
                <w:lang w:val="en-US"/>
              </w:rPr>
            </w:pPr>
            <w:bookmarkStart w:id="298" w:name="_Toc212017945"/>
            <w:bookmarkStart w:id="299" w:name="_Toc213164198"/>
            <w:bookmarkStart w:id="300" w:name="_Toc213179181"/>
            <w:r w:rsidRPr="002E4D67">
              <w:rPr>
                <w:lang w:val="en-US"/>
              </w:rPr>
              <w:lastRenderedPageBreak/>
              <w:t>E.38 Conflicts of interest</w:t>
            </w:r>
            <w:bookmarkEnd w:id="298"/>
            <w:bookmarkEnd w:id="299"/>
            <w:bookmarkEnd w:id="300"/>
          </w:p>
        </w:tc>
        <w:tc>
          <w:tcPr>
            <w:tcW w:w="6371" w:type="dxa"/>
          </w:tcPr>
          <w:p w14:paraId="36070B28" w14:textId="77777777" w:rsidR="00627149" w:rsidRDefault="00627149" w:rsidP="001073C5">
            <w:pPr>
              <w:pStyle w:val="Textkrper"/>
              <w:jc w:val="left"/>
              <w:rPr>
                <w:rFonts w:cstheme="minorHAnsi"/>
                <w:lang w:val="en-US"/>
              </w:rPr>
            </w:pPr>
            <w:r>
              <w:rPr>
                <w:rFonts w:cstheme="minorHAnsi"/>
                <w:lang w:val="en-US"/>
              </w:rPr>
              <w:t>None.</w:t>
            </w:r>
          </w:p>
          <w:p w14:paraId="763845B8" w14:textId="4E44874A" w:rsidR="001073C5" w:rsidRPr="002E4D67" w:rsidRDefault="001073C5" w:rsidP="001073C5">
            <w:pPr>
              <w:pStyle w:val="Textkrper"/>
              <w:jc w:val="left"/>
              <w:rPr>
                <w:rFonts w:cstheme="minorHAnsi"/>
                <w:lang w:val="en-US"/>
              </w:rPr>
            </w:pPr>
            <w:r w:rsidRPr="002E4D67">
              <w:rPr>
                <w:rFonts w:cstheme="minorHAnsi"/>
                <w:lang w:val="en-US"/>
              </w:rPr>
              <w:t xml:space="preserve">WYND Capital GmbH, as the issuer of the $WYND Utility Token, has assessed all relationships with parties involved in the public offering and confirms that </w:t>
            </w:r>
            <w:r w:rsidRPr="002E4D67">
              <w:rPr>
                <w:rStyle w:val="Fett"/>
                <w:rFonts w:cstheme="minorHAnsi"/>
                <w:lang w:val="en-US"/>
              </w:rPr>
              <w:t>no material conflicts of interest</w:t>
            </w:r>
            <w:r w:rsidRPr="002E4D67">
              <w:rPr>
                <w:rFonts w:cstheme="minorHAnsi"/>
                <w:lang w:val="en-US"/>
              </w:rPr>
              <w:t xml:space="preserve"> exist that could adversely affect token purchasers.</w:t>
            </w:r>
          </w:p>
          <w:p w14:paraId="67D7A7B7" w14:textId="77777777" w:rsidR="001073C5" w:rsidRPr="002E4D67" w:rsidRDefault="001073C5" w:rsidP="001073C5">
            <w:pPr>
              <w:pStyle w:val="Textkrper"/>
              <w:jc w:val="left"/>
              <w:rPr>
                <w:rFonts w:cstheme="minorHAnsi"/>
                <w:lang w:val="en-US"/>
              </w:rPr>
            </w:pPr>
            <w:r w:rsidRPr="002E4D67">
              <w:rPr>
                <w:rStyle w:val="Fett"/>
                <w:rFonts w:cstheme="minorHAnsi"/>
                <w:lang w:val="en-US"/>
              </w:rPr>
              <w:t>1. Involved Parties</w:t>
            </w:r>
          </w:p>
          <w:p w14:paraId="574A0BB1" w14:textId="1F389D93" w:rsidR="001073C5" w:rsidRPr="002E4D67" w:rsidRDefault="001073C5" w:rsidP="001073C5">
            <w:pPr>
              <w:pStyle w:val="Textkrper"/>
              <w:numPr>
                <w:ilvl w:val="0"/>
                <w:numId w:val="34"/>
              </w:numPr>
              <w:jc w:val="left"/>
              <w:rPr>
                <w:rFonts w:cstheme="minorHAnsi"/>
                <w:lang w:val="en-US"/>
              </w:rPr>
            </w:pPr>
            <w:r w:rsidRPr="002E4D67">
              <w:rPr>
                <w:rStyle w:val="Fett"/>
                <w:rFonts w:cstheme="minorHAnsi"/>
                <w:lang w:val="en-US"/>
              </w:rPr>
              <w:t>Issuer:</w:t>
            </w:r>
            <w:r w:rsidRPr="002E4D67">
              <w:rPr>
                <w:rFonts w:cstheme="minorHAnsi"/>
                <w:lang w:val="en-US"/>
              </w:rPr>
              <w:t xml:space="preserve"> WYND Capital GmbH (Hamburg, Germany)</w:t>
            </w:r>
          </w:p>
          <w:p w14:paraId="4EAF7AF0" w14:textId="5A01E0E0" w:rsidR="001073C5" w:rsidRPr="002E4D67" w:rsidRDefault="001073C5" w:rsidP="001073C5">
            <w:pPr>
              <w:pStyle w:val="Textkrper"/>
              <w:numPr>
                <w:ilvl w:val="0"/>
                <w:numId w:val="34"/>
              </w:numPr>
              <w:jc w:val="left"/>
              <w:rPr>
                <w:rFonts w:cstheme="minorHAnsi"/>
                <w:lang w:val="en-US"/>
              </w:rPr>
            </w:pPr>
            <w:r w:rsidRPr="002E4D67">
              <w:rPr>
                <w:rStyle w:val="Fett"/>
                <w:rFonts w:cstheme="minorHAnsi"/>
                <w:lang w:val="en-US"/>
              </w:rPr>
              <w:t>Parent Company:</w:t>
            </w:r>
            <w:r w:rsidRPr="002E4D67">
              <w:rPr>
                <w:rFonts w:cstheme="minorHAnsi"/>
                <w:lang w:val="en-US"/>
              </w:rPr>
              <w:t xml:space="preserve"> MD Capital GmbH (Hamburg, Germany) – responsible for financing of yacht construction and WYND Bonds (Security Tokens).</w:t>
            </w:r>
          </w:p>
          <w:p w14:paraId="3D0C29C5" w14:textId="151CCE5D" w:rsidR="001073C5" w:rsidRPr="002E4D67" w:rsidRDefault="001073C5" w:rsidP="001073C5">
            <w:pPr>
              <w:pStyle w:val="Textkrper"/>
              <w:numPr>
                <w:ilvl w:val="0"/>
                <w:numId w:val="34"/>
              </w:numPr>
              <w:jc w:val="left"/>
              <w:rPr>
                <w:rFonts w:cstheme="minorHAnsi"/>
                <w:lang w:val="en-US"/>
              </w:rPr>
            </w:pPr>
            <w:r w:rsidRPr="002E4D67">
              <w:rPr>
                <w:rStyle w:val="Fett"/>
                <w:rFonts w:cstheme="minorHAnsi"/>
                <w:lang w:val="en-US"/>
              </w:rPr>
              <w:t>Founder and Managing Director:</w:t>
            </w:r>
            <w:r w:rsidRPr="002E4D67">
              <w:rPr>
                <w:rFonts w:cstheme="minorHAnsi"/>
                <w:lang w:val="en-US"/>
              </w:rPr>
              <w:t xml:space="preserve"> Dennis Monner – indirectly holds interests in both WYND Capital GmbH and MD Capital GmbH.</w:t>
            </w:r>
          </w:p>
          <w:p w14:paraId="16AB4994" w14:textId="0D258939" w:rsidR="001073C5" w:rsidRPr="002E4D67" w:rsidRDefault="001073C5" w:rsidP="001073C5">
            <w:pPr>
              <w:pStyle w:val="Textkrper"/>
              <w:numPr>
                <w:ilvl w:val="0"/>
                <w:numId w:val="34"/>
              </w:numPr>
              <w:jc w:val="left"/>
              <w:rPr>
                <w:rFonts w:cstheme="minorHAnsi"/>
                <w:lang w:val="en-US"/>
              </w:rPr>
            </w:pPr>
            <w:r w:rsidRPr="002E4D67">
              <w:rPr>
                <w:rStyle w:val="Fett"/>
                <w:rFonts w:cstheme="minorHAnsi"/>
                <w:lang w:val="en-US"/>
              </w:rPr>
              <w:t>Technical and Regulatory Partners:</w:t>
            </w:r>
            <w:r w:rsidRPr="002E4D67">
              <w:rPr>
                <w:rFonts w:cstheme="minorHAnsi"/>
                <w:lang w:val="en-US"/>
              </w:rPr>
              <w:t xml:space="preserve"> Bitbond GmbH regulated MiCAR infrastructure providers responsible for issuance, custody, and investor onboarding.</w:t>
            </w:r>
          </w:p>
          <w:p w14:paraId="5E6094FC" w14:textId="77777777" w:rsidR="001073C5" w:rsidRPr="002E4D67" w:rsidRDefault="001073C5" w:rsidP="001073C5">
            <w:pPr>
              <w:pStyle w:val="Textkrper"/>
              <w:jc w:val="left"/>
              <w:rPr>
                <w:rFonts w:cstheme="minorHAnsi"/>
                <w:lang w:val="en-US"/>
              </w:rPr>
            </w:pPr>
            <w:r w:rsidRPr="002E4D67">
              <w:rPr>
                <w:rStyle w:val="Fett"/>
                <w:rFonts w:cstheme="minorHAnsi"/>
                <w:lang w:val="en-US"/>
              </w:rPr>
              <w:t>2. Potential Conflicts and Mitigation Measures</w:t>
            </w:r>
          </w:p>
          <w:p w14:paraId="3A406F9F" w14:textId="77777777" w:rsidR="001073C5" w:rsidRPr="002E4D67" w:rsidRDefault="001073C5" w:rsidP="001073C5">
            <w:pPr>
              <w:pStyle w:val="Textkrper"/>
              <w:jc w:val="left"/>
              <w:rPr>
                <w:rFonts w:cstheme="minorHAnsi"/>
                <w:lang w:val="en-US"/>
              </w:rPr>
            </w:pPr>
            <w:r w:rsidRPr="002E4D67">
              <w:rPr>
                <w:rFonts w:cstheme="minorHAnsi"/>
                <w:lang w:val="en-US"/>
              </w:rPr>
              <w:t xml:space="preserve">The dual role of </w:t>
            </w:r>
            <w:r w:rsidRPr="002E4D67">
              <w:rPr>
                <w:rStyle w:val="Fett"/>
                <w:rFonts w:cstheme="minorHAnsi"/>
                <w:lang w:val="en-US"/>
              </w:rPr>
              <w:t>Dennis Monner</w:t>
            </w:r>
            <w:r w:rsidRPr="002E4D67">
              <w:rPr>
                <w:rFonts w:cstheme="minorHAnsi"/>
                <w:lang w:val="en-US"/>
              </w:rPr>
              <w:t xml:space="preserve"> as founder and managing director of both WYND Capital GmbH and MD Capital GmbH may constitute a potential conflict of interest between token issuance (utility) and investment financing (security token).</w:t>
            </w:r>
          </w:p>
          <w:p w14:paraId="55070C10" w14:textId="77777777" w:rsidR="001073C5" w:rsidRPr="002E4D67" w:rsidRDefault="001073C5" w:rsidP="001073C5">
            <w:pPr>
              <w:pStyle w:val="Textkrper"/>
              <w:jc w:val="left"/>
              <w:rPr>
                <w:rFonts w:cstheme="minorHAnsi"/>
                <w:lang w:val="en-US"/>
              </w:rPr>
            </w:pPr>
            <w:r w:rsidRPr="002E4D67">
              <w:rPr>
                <w:rFonts w:cstheme="minorHAnsi"/>
                <w:lang w:val="en-US"/>
              </w:rPr>
              <w:t xml:space="preserve">This is mitigated through </w:t>
            </w:r>
            <w:r w:rsidRPr="002E4D67">
              <w:rPr>
                <w:rStyle w:val="Fett"/>
                <w:rFonts w:cstheme="minorHAnsi"/>
                <w:lang w:val="en-US"/>
              </w:rPr>
              <w:t>clear functional and financial separation</w:t>
            </w:r>
            <w:r w:rsidRPr="002E4D67">
              <w:rPr>
                <w:rFonts w:cstheme="minorHAnsi"/>
                <w:lang w:val="en-US"/>
              </w:rPr>
              <w:t>:</w:t>
            </w:r>
          </w:p>
          <w:p w14:paraId="0A66B1D5" w14:textId="77777777" w:rsidR="001073C5" w:rsidRPr="002E4D67" w:rsidRDefault="001073C5" w:rsidP="001073C5">
            <w:pPr>
              <w:pStyle w:val="Textkrper"/>
              <w:jc w:val="left"/>
              <w:rPr>
                <w:rFonts w:cstheme="minorHAnsi"/>
                <w:lang w:val="en-US"/>
              </w:rPr>
            </w:pPr>
            <w:r w:rsidRPr="002E4D67">
              <w:rPr>
                <w:rFonts w:cstheme="minorHAnsi"/>
                <w:lang w:val="en-US"/>
              </w:rPr>
              <w:t xml:space="preserve">WYND Capital GmbH exclusively issues the </w:t>
            </w:r>
            <w:r w:rsidRPr="002E4D67">
              <w:rPr>
                <w:rStyle w:val="Fett"/>
                <w:rFonts w:cstheme="minorHAnsi"/>
                <w:lang w:val="en-US"/>
              </w:rPr>
              <w:t>Utility Token ($WYND)</w:t>
            </w:r>
            <w:r w:rsidRPr="002E4D67">
              <w:rPr>
                <w:rFonts w:cstheme="minorHAnsi"/>
                <w:lang w:val="en-US"/>
              </w:rPr>
              <w:t>.</w:t>
            </w:r>
          </w:p>
          <w:p w14:paraId="20C10110" w14:textId="77777777" w:rsidR="001073C5" w:rsidRPr="002E4D67" w:rsidRDefault="001073C5" w:rsidP="001073C5">
            <w:pPr>
              <w:pStyle w:val="Textkrper"/>
              <w:jc w:val="left"/>
              <w:rPr>
                <w:rFonts w:cstheme="minorHAnsi"/>
                <w:lang w:val="en-US"/>
              </w:rPr>
            </w:pPr>
            <w:r w:rsidRPr="002E4D67">
              <w:rPr>
                <w:rFonts w:cstheme="minorHAnsi"/>
                <w:lang w:val="en-US"/>
              </w:rPr>
              <w:t xml:space="preserve">MD Capital GmbH exclusively issues the </w:t>
            </w:r>
            <w:r w:rsidRPr="002E4D67">
              <w:rPr>
                <w:rStyle w:val="Fett"/>
                <w:rFonts w:cstheme="minorHAnsi"/>
                <w:lang w:val="en-US"/>
              </w:rPr>
              <w:t>WYND Bonds (Security Tokens)</w:t>
            </w:r>
            <w:r w:rsidRPr="002E4D67">
              <w:rPr>
                <w:rFonts w:cstheme="minorHAnsi"/>
                <w:lang w:val="en-US"/>
              </w:rPr>
              <w:t xml:space="preserve"> used for yacht financing.</w:t>
            </w:r>
          </w:p>
          <w:p w14:paraId="27527DA2" w14:textId="77777777" w:rsidR="001073C5" w:rsidRPr="002E4D67" w:rsidRDefault="001073C5" w:rsidP="001073C5">
            <w:pPr>
              <w:pStyle w:val="Textkrper"/>
              <w:jc w:val="left"/>
              <w:rPr>
                <w:rFonts w:cstheme="minorHAnsi"/>
                <w:lang w:val="en-US"/>
              </w:rPr>
            </w:pPr>
            <w:r w:rsidRPr="002E4D67">
              <w:rPr>
                <w:rFonts w:cstheme="minorHAnsi"/>
                <w:lang w:val="en-US"/>
              </w:rPr>
              <w:t>Separate accounting, banking, and reporting structures are maintained for both entities.</w:t>
            </w:r>
          </w:p>
          <w:p w14:paraId="22AA79E2" w14:textId="246EF340" w:rsidR="001073C5" w:rsidRPr="002E4D67" w:rsidRDefault="001073C5" w:rsidP="001073C5">
            <w:pPr>
              <w:pStyle w:val="Textkrper"/>
              <w:jc w:val="left"/>
              <w:rPr>
                <w:rFonts w:cstheme="minorHAnsi"/>
                <w:lang w:val="en-US"/>
              </w:rPr>
            </w:pPr>
            <w:r w:rsidRPr="002E4D67">
              <w:rPr>
                <w:rFonts w:cstheme="minorHAnsi"/>
                <w:lang w:val="en-US"/>
              </w:rPr>
              <w:t xml:space="preserve">Service providers are compensated on a </w:t>
            </w:r>
            <w:r w:rsidRPr="002E4D67">
              <w:rPr>
                <w:rStyle w:val="Fett"/>
                <w:rFonts w:cstheme="minorHAnsi"/>
                <w:lang w:val="en-US"/>
              </w:rPr>
              <w:t>fixed-fee basis</w:t>
            </w:r>
            <w:r w:rsidRPr="002E4D67">
              <w:rPr>
                <w:rFonts w:cstheme="minorHAnsi"/>
                <w:lang w:val="en-US"/>
              </w:rPr>
              <w:t xml:space="preserve">, with </w:t>
            </w:r>
            <w:r w:rsidRPr="002E4D67">
              <w:rPr>
                <w:rStyle w:val="Fett"/>
                <w:rFonts w:cstheme="minorHAnsi"/>
                <w:lang w:val="en-US"/>
              </w:rPr>
              <w:t>no success-based remuneration</w:t>
            </w:r>
            <w:r w:rsidRPr="002E4D67">
              <w:rPr>
                <w:rFonts w:cstheme="minorHAnsi"/>
                <w:lang w:val="en-US"/>
              </w:rPr>
              <w:t xml:space="preserve"> or token-linked incentives.</w:t>
            </w:r>
          </w:p>
          <w:p w14:paraId="01129844" w14:textId="77777777" w:rsidR="001073C5" w:rsidRPr="002E4D67" w:rsidRDefault="001073C5" w:rsidP="001073C5">
            <w:pPr>
              <w:pStyle w:val="Textkrper"/>
              <w:jc w:val="left"/>
              <w:rPr>
                <w:rFonts w:cstheme="minorHAnsi"/>
                <w:lang w:val="en-US"/>
              </w:rPr>
            </w:pPr>
            <w:r w:rsidRPr="002E4D67">
              <w:rPr>
                <w:rFonts w:cstheme="minorHAnsi"/>
                <w:lang w:val="en-US"/>
              </w:rPr>
              <w:lastRenderedPageBreak/>
              <w:t xml:space="preserve">All advisory and operational relationships are governed by </w:t>
            </w:r>
            <w:r w:rsidRPr="002E4D67">
              <w:rPr>
                <w:rStyle w:val="Fett"/>
                <w:rFonts w:cstheme="minorHAnsi"/>
                <w:lang w:val="en-US"/>
              </w:rPr>
              <w:t>written service agreements</w:t>
            </w:r>
            <w:r w:rsidRPr="002E4D67">
              <w:rPr>
                <w:rFonts w:cstheme="minorHAnsi"/>
                <w:lang w:val="en-US"/>
              </w:rPr>
              <w:t xml:space="preserve"> to ensure transparency and independence.</w:t>
            </w:r>
          </w:p>
          <w:p w14:paraId="41680EEB" w14:textId="77777777" w:rsidR="001073C5" w:rsidRPr="002E4D67" w:rsidRDefault="001073C5" w:rsidP="001073C5">
            <w:pPr>
              <w:pStyle w:val="Textkrper"/>
              <w:jc w:val="left"/>
              <w:rPr>
                <w:rFonts w:cstheme="minorHAnsi"/>
                <w:lang w:val="en-US"/>
              </w:rPr>
            </w:pPr>
            <w:r w:rsidRPr="002E4D67">
              <w:rPr>
                <w:rStyle w:val="Fett"/>
                <w:rFonts w:cstheme="minorHAnsi"/>
                <w:lang w:val="en-US"/>
              </w:rPr>
              <w:t>3. Disclosure and Governance</w:t>
            </w:r>
            <w:r w:rsidRPr="002E4D67">
              <w:rPr>
                <w:rFonts w:cstheme="minorHAnsi"/>
                <w:lang w:val="en-US"/>
              </w:rPr>
              <w:br/>
              <w:t xml:space="preserve">WYND Capital GmbH maintains a </w:t>
            </w:r>
            <w:r w:rsidRPr="002E4D67">
              <w:rPr>
                <w:rStyle w:val="Fett"/>
                <w:rFonts w:cstheme="minorHAnsi"/>
                <w:lang w:val="en-US"/>
              </w:rPr>
              <w:t>Conflict-of-Interest Policy</w:t>
            </w:r>
            <w:r w:rsidRPr="002E4D67">
              <w:rPr>
                <w:rFonts w:cstheme="minorHAnsi"/>
                <w:lang w:val="en-US"/>
              </w:rPr>
              <w:t xml:space="preserve"> to identify, monitor, and mitigate any situation that may arise between the issuer, its management, and service partners.</w:t>
            </w:r>
            <w:r w:rsidRPr="002E4D67">
              <w:rPr>
                <w:rFonts w:cstheme="minorHAnsi"/>
                <w:lang w:val="en-US"/>
              </w:rPr>
              <w:br/>
              <w:t xml:space="preserve">Should any new conflict occur, WYND Capital GmbH will </w:t>
            </w:r>
            <w:r w:rsidRPr="002E4D67">
              <w:rPr>
                <w:rStyle w:val="Fett"/>
                <w:rFonts w:cstheme="minorHAnsi"/>
                <w:lang w:val="en-US"/>
              </w:rPr>
              <w:t>immediately disclose</w:t>
            </w:r>
            <w:r w:rsidRPr="002E4D67">
              <w:rPr>
                <w:rFonts w:cstheme="minorHAnsi"/>
                <w:lang w:val="en-US"/>
              </w:rPr>
              <w:t xml:space="preserve"> such information via official investor communication channels in compliance with MiCAR and applicable German corporate law.</w:t>
            </w:r>
          </w:p>
          <w:p w14:paraId="50111946" w14:textId="77777777" w:rsidR="001073C5" w:rsidRPr="002E4D67" w:rsidRDefault="001073C5" w:rsidP="001073C5">
            <w:pPr>
              <w:pStyle w:val="Textkrper"/>
              <w:jc w:val="left"/>
              <w:rPr>
                <w:rFonts w:cstheme="minorHAnsi"/>
                <w:lang w:val="en-US"/>
              </w:rPr>
            </w:pPr>
            <w:r w:rsidRPr="002E4D67">
              <w:rPr>
                <w:rFonts w:cstheme="minorHAnsi"/>
                <w:lang w:val="en-US"/>
              </w:rPr>
              <w:t xml:space="preserve">Based on current arrangements, </w:t>
            </w:r>
            <w:r w:rsidRPr="002E4D67">
              <w:rPr>
                <w:rStyle w:val="Fett"/>
                <w:rFonts w:cstheme="minorHAnsi"/>
                <w:lang w:val="en-US"/>
              </w:rPr>
              <w:t>no personal, financial, or advisory interests</w:t>
            </w:r>
            <w:r w:rsidRPr="002E4D67">
              <w:rPr>
                <w:rFonts w:cstheme="minorHAnsi"/>
                <w:lang w:val="en-US"/>
              </w:rPr>
              <w:t xml:space="preserve"> exist that would unduly influence the pricing, allocation, or operation of the $WYND Utility Token.</w:t>
            </w:r>
          </w:p>
          <w:p w14:paraId="3B0377CF" w14:textId="77777777" w:rsidR="001073C5" w:rsidRPr="002E4D67" w:rsidRDefault="001073C5" w:rsidP="001073C5">
            <w:pPr>
              <w:pStyle w:val="Textkrper"/>
              <w:jc w:val="left"/>
              <w:rPr>
                <w:rFonts w:cstheme="minorHAnsi"/>
                <w:lang w:val="en-US"/>
              </w:rPr>
            </w:pPr>
          </w:p>
        </w:tc>
      </w:tr>
      <w:tr w:rsidR="001073C5" w:rsidRPr="002E4D67" w14:paraId="2C741C7A" w14:textId="77777777" w:rsidTr="00D64090">
        <w:tc>
          <w:tcPr>
            <w:tcW w:w="1985" w:type="dxa"/>
          </w:tcPr>
          <w:p w14:paraId="1E9B802D" w14:textId="4B8E630A" w:rsidR="001073C5" w:rsidRPr="002E4D67" w:rsidRDefault="001073C5" w:rsidP="001073C5">
            <w:pPr>
              <w:pStyle w:val="berschrift1"/>
              <w:keepNext w:val="0"/>
              <w:keepLines w:val="0"/>
              <w:rPr>
                <w:lang w:val="en-US"/>
              </w:rPr>
            </w:pPr>
            <w:bookmarkStart w:id="301" w:name="_Toc212017947"/>
            <w:bookmarkStart w:id="302" w:name="_Toc213164199"/>
            <w:bookmarkStart w:id="303" w:name="_Toc213179182"/>
            <w:r w:rsidRPr="002E4D67">
              <w:rPr>
                <w:lang w:val="en-US"/>
              </w:rPr>
              <w:lastRenderedPageBreak/>
              <w:t>E.39 Applicable law</w:t>
            </w:r>
            <w:bookmarkEnd w:id="301"/>
            <w:bookmarkEnd w:id="302"/>
            <w:bookmarkEnd w:id="303"/>
          </w:p>
        </w:tc>
        <w:tc>
          <w:tcPr>
            <w:tcW w:w="6371" w:type="dxa"/>
          </w:tcPr>
          <w:p w14:paraId="4E9104DB" w14:textId="24EC5B22" w:rsidR="001073C5" w:rsidRPr="002E4D67" w:rsidRDefault="005F61FB" w:rsidP="001073C5">
            <w:pPr>
              <w:pStyle w:val="Textkrper"/>
              <w:rPr>
                <w:rFonts w:cstheme="minorHAnsi"/>
                <w:lang w:val="en-US"/>
              </w:rPr>
            </w:pPr>
            <w:r>
              <w:t>Federal Republic of Germany.</w:t>
            </w:r>
          </w:p>
        </w:tc>
      </w:tr>
      <w:tr w:rsidR="001073C5" w:rsidRPr="002E4D67" w14:paraId="5108EB52" w14:textId="77777777" w:rsidTr="00D64090">
        <w:tc>
          <w:tcPr>
            <w:tcW w:w="1985" w:type="dxa"/>
          </w:tcPr>
          <w:p w14:paraId="168F603A" w14:textId="021D6EEF" w:rsidR="001073C5" w:rsidRPr="002E4D67" w:rsidRDefault="001073C5" w:rsidP="001073C5">
            <w:pPr>
              <w:pStyle w:val="berschrift1"/>
              <w:keepNext w:val="0"/>
              <w:keepLines w:val="0"/>
              <w:rPr>
                <w:lang w:val="en-US"/>
              </w:rPr>
            </w:pPr>
            <w:bookmarkStart w:id="304" w:name="_Toc212017949"/>
            <w:bookmarkStart w:id="305" w:name="_Toc213164200"/>
            <w:bookmarkStart w:id="306" w:name="_Toc213179183"/>
            <w:r w:rsidRPr="002E4D67">
              <w:rPr>
                <w:lang w:val="en-US"/>
              </w:rPr>
              <w:t>E.40 Competent court</w:t>
            </w:r>
            <w:bookmarkEnd w:id="304"/>
            <w:bookmarkEnd w:id="305"/>
            <w:bookmarkEnd w:id="306"/>
          </w:p>
        </w:tc>
        <w:tc>
          <w:tcPr>
            <w:tcW w:w="6371" w:type="dxa"/>
          </w:tcPr>
          <w:p w14:paraId="156B50D6" w14:textId="7B27F188" w:rsidR="001073C5" w:rsidRPr="002E4D67" w:rsidRDefault="005F61FB" w:rsidP="001073C5">
            <w:pPr>
              <w:pStyle w:val="Textkrper"/>
              <w:rPr>
                <w:rFonts w:cstheme="minorHAnsi"/>
                <w:lang w:val="en-US"/>
              </w:rPr>
            </w:pPr>
            <w:r>
              <w:t>Hamburg, Germany, unless mandatory legal provisions require otherwise.</w:t>
            </w:r>
          </w:p>
        </w:tc>
      </w:tr>
      <w:tr w:rsidR="001073C5" w:rsidRPr="002E4D67" w14:paraId="3D272380" w14:textId="77777777" w:rsidTr="00EB3BCB">
        <w:tc>
          <w:tcPr>
            <w:tcW w:w="8356" w:type="dxa"/>
            <w:gridSpan w:val="2"/>
          </w:tcPr>
          <w:p w14:paraId="4B34A191" w14:textId="33DEA079" w:rsidR="001073C5" w:rsidRPr="002E4D67" w:rsidRDefault="001073C5" w:rsidP="001073C5">
            <w:pPr>
              <w:pStyle w:val="berschrift1"/>
              <w:rPr>
                <w:lang w:val="en-US"/>
              </w:rPr>
            </w:pPr>
            <w:bookmarkStart w:id="307" w:name="_Toc213179184"/>
            <w:r w:rsidRPr="002E4D67">
              <w:rPr>
                <w:lang w:val="en-US"/>
              </w:rPr>
              <w:t>Part F – Information about the crypto-assets</w:t>
            </w:r>
            <w:bookmarkEnd w:id="307"/>
          </w:p>
        </w:tc>
      </w:tr>
      <w:tr w:rsidR="001073C5" w:rsidRPr="002E4D67" w14:paraId="7DF48818" w14:textId="77777777" w:rsidTr="00D64090">
        <w:tc>
          <w:tcPr>
            <w:tcW w:w="1985" w:type="dxa"/>
          </w:tcPr>
          <w:p w14:paraId="7CAC1744" w14:textId="39A9F684" w:rsidR="001073C5" w:rsidRPr="002E4D67" w:rsidRDefault="001073C5" w:rsidP="001073C5">
            <w:pPr>
              <w:pStyle w:val="berschrift1"/>
              <w:keepNext w:val="0"/>
              <w:keepLines w:val="0"/>
              <w:rPr>
                <w:lang w:val="en-US"/>
              </w:rPr>
            </w:pPr>
            <w:bookmarkStart w:id="308" w:name="_Toc213164201"/>
            <w:bookmarkStart w:id="309" w:name="_Toc213179185"/>
            <w:r w:rsidRPr="002E4D67">
              <w:rPr>
                <w:lang w:val="en-US"/>
              </w:rPr>
              <w:t>F.1 Crypto-asset type</w:t>
            </w:r>
            <w:bookmarkEnd w:id="308"/>
            <w:bookmarkEnd w:id="309"/>
          </w:p>
        </w:tc>
        <w:tc>
          <w:tcPr>
            <w:tcW w:w="6371" w:type="dxa"/>
          </w:tcPr>
          <w:p w14:paraId="71059365" w14:textId="77777777" w:rsidR="001073C5" w:rsidRPr="002E4D67" w:rsidRDefault="001073C5" w:rsidP="001073C5">
            <w:pPr>
              <w:pStyle w:val="Textkrper"/>
              <w:rPr>
                <w:rFonts w:cstheme="minorHAnsi"/>
                <w:lang w:val="en-US"/>
              </w:rPr>
            </w:pPr>
            <w:r w:rsidRPr="002E4D67">
              <w:rPr>
                <w:rFonts w:cstheme="minorHAnsi"/>
                <w:lang w:val="en-US"/>
              </w:rPr>
              <w:t>Under the MiCAR taxonomy, the $WYND token is a crypto-asset other than e-money token or asset referenced token.</w:t>
            </w:r>
          </w:p>
        </w:tc>
      </w:tr>
      <w:tr w:rsidR="001073C5" w:rsidRPr="002E4D67" w14:paraId="236D7FAA" w14:textId="77777777" w:rsidTr="00D64090">
        <w:tc>
          <w:tcPr>
            <w:tcW w:w="1985" w:type="dxa"/>
          </w:tcPr>
          <w:p w14:paraId="48E6D53E" w14:textId="6A9531DC" w:rsidR="001073C5" w:rsidRPr="002E4D67" w:rsidRDefault="001073C5" w:rsidP="001073C5">
            <w:pPr>
              <w:pStyle w:val="berschrift1"/>
              <w:keepNext w:val="0"/>
              <w:keepLines w:val="0"/>
              <w:rPr>
                <w:highlight w:val="yellow"/>
                <w:lang w:val="en-US"/>
              </w:rPr>
            </w:pPr>
            <w:bookmarkStart w:id="310" w:name="_Toc213164202"/>
            <w:bookmarkStart w:id="311" w:name="_Toc213179186"/>
            <w:r w:rsidRPr="002E4D67">
              <w:rPr>
                <w:lang w:val="en-US"/>
              </w:rPr>
              <w:t>F.2 Crypto-asset functionality</w:t>
            </w:r>
            <w:bookmarkEnd w:id="310"/>
            <w:bookmarkEnd w:id="311"/>
          </w:p>
        </w:tc>
        <w:tc>
          <w:tcPr>
            <w:tcW w:w="6371" w:type="dxa"/>
          </w:tcPr>
          <w:p w14:paraId="0C713A43" w14:textId="3197E495" w:rsidR="001073C5" w:rsidRPr="002E4D67" w:rsidRDefault="001073C5" w:rsidP="001073C5">
            <w:pPr>
              <w:pStyle w:val="Textkrper"/>
              <w:rPr>
                <w:rFonts w:asciiTheme="majorHAnsi" w:hAnsiTheme="majorHAnsi" w:cstheme="majorHAnsi"/>
                <w:lang w:val="en-US"/>
              </w:rPr>
            </w:pPr>
            <w:r w:rsidRPr="002E4D67">
              <w:rPr>
                <w:rFonts w:asciiTheme="majorHAnsi" w:hAnsiTheme="majorHAnsi" w:cstheme="majorHAnsi"/>
                <w:lang w:val="en-US"/>
              </w:rPr>
              <w:t xml:space="preserve">The </w:t>
            </w:r>
            <w:r w:rsidRPr="002E4D67">
              <w:rPr>
                <w:rStyle w:val="Fett"/>
                <w:rFonts w:asciiTheme="majorHAnsi" w:hAnsiTheme="majorHAnsi" w:cstheme="majorHAnsi"/>
                <w:lang w:val="en-US"/>
              </w:rPr>
              <w:t>$WYND Utility Token</w:t>
            </w:r>
            <w:r w:rsidRPr="002E4D67">
              <w:rPr>
                <w:rFonts w:asciiTheme="majorHAnsi" w:hAnsiTheme="majorHAnsi" w:cstheme="majorHAnsi"/>
                <w:lang w:val="en-US"/>
              </w:rPr>
              <w:t xml:space="preserve"> is a </w:t>
            </w:r>
            <w:r w:rsidRPr="002E4D67">
              <w:rPr>
                <w:rStyle w:val="Fett"/>
                <w:rFonts w:asciiTheme="majorHAnsi" w:hAnsiTheme="majorHAnsi" w:cstheme="majorHAnsi"/>
                <w:lang w:val="en-US"/>
              </w:rPr>
              <w:t>utility token</w:t>
            </w:r>
            <w:r w:rsidRPr="002E4D67">
              <w:rPr>
                <w:rFonts w:asciiTheme="majorHAnsi" w:hAnsiTheme="majorHAnsi" w:cstheme="majorHAnsi"/>
                <w:lang w:val="en-US"/>
              </w:rPr>
              <w:t xml:space="preserve"> designed to provide </w:t>
            </w:r>
            <w:r w:rsidRPr="002E4D67">
              <w:rPr>
                <w:rStyle w:val="Fett"/>
                <w:rFonts w:asciiTheme="majorHAnsi" w:hAnsiTheme="majorHAnsi" w:cstheme="majorHAnsi"/>
                <w:lang w:val="en-US"/>
              </w:rPr>
              <w:t xml:space="preserve">digital access </w:t>
            </w:r>
            <w:r w:rsidRPr="002E4D67">
              <w:rPr>
                <w:rFonts w:asciiTheme="majorHAnsi" w:hAnsiTheme="majorHAnsi" w:cstheme="majorHAnsi"/>
                <w:lang w:val="en-US"/>
              </w:rPr>
              <w:t xml:space="preserve">within the WYND ecosystem. It does </w:t>
            </w:r>
            <w:r w:rsidRPr="002E4D67">
              <w:rPr>
                <w:rStyle w:val="Fett"/>
                <w:rFonts w:asciiTheme="majorHAnsi" w:hAnsiTheme="majorHAnsi" w:cstheme="majorHAnsi"/>
                <w:lang w:val="en-US"/>
              </w:rPr>
              <w:t>not</w:t>
            </w:r>
            <w:r w:rsidRPr="002E4D67">
              <w:rPr>
                <w:rFonts w:asciiTheme="majorHAnsi" w:hAnsiTheme="majorHAnsi" w:cstheme="majorHAnsi"/>
                <w:lang w:val="en-US"/>
              </w:rPr>
              <w:t xml:space="preserve"> represent any ownership, dividend, voting, or repayment right and does </w:t>
            </w:r>
            <w:r w:rsidRPr="002E4D67">
              <w:rPr>
                <w:rStyle w:val="Fett"/>
                <w:rFonts w:asciiTheme="majorHAnsi" w:hAnsiTheme="majorHAnsi" w:cstheme="majorHAnsi"/>
                <w:lang w:val="en-US"/>
              </w:rPr>
              <w:t>not</w:t>
            </w:r>
            <w:r w:rsidRPr="002E4D67">
              <w:rPr>
                <w:rFonts w:asciiTheme="majorHAnsi" w:hAnsiTheme="majorHAnsi" w:cstheme="majorHAnsi"/>
                <w:lang w:val="en-US"/>
              </w:rPr>
              <w:t xml:space="preserve"> qualify as a security, e-money, or financial instrument under EU law.</w:t>
            </w:r>
          </w:p>
          <w:p w14:paraId="6ED4D91B" w14:textId="369744AD" w:rsidR="001073C5" w:rsidRPr="002E4D67" w:rsidRDefault="001073C5" w:rsidP="001073C5">
            <w:pPr>
              <w:pStyle w:val="Textkrper"/>
              <w:rPr>
                <w:rFonts w:asciiTheme="majorHAnsi" w:hAnsiTheme="majorHAnsi" w:cstheme="majorHAnsi"/>
                <w:lang w:val="en-US"/>
              </w:rPr>
            </w:pPr>
            <w:r w:rsidRPr="002E4D67">
              <w:rPr>
                <w:rStyle w:val="Fett"/>
                <w:rFonts w:asciiTheme="majorHAnsi" w:hAnsiTheme="majorHAnsi" w:cstheme="majorHAnsi"/>
                <w:lang w:val="en-US"/>
              </w:rPr>
              <w:t>1. Service Access Function</w:t>
            </w:r>
          </w:p>
          <w:p w14:paraId="7699C68F" w14:textId="574DDEEB" w:rsidR="001073C5" w:rsidRPr="002E4D67" w:rsidRDefault="001073C5" w:rsidP="001073C5">
            <w:pPr>
              <w:pStyle w:val="Textkrper"/>
              <w:rPr>
                <w:rFonts w:asciiTheme="majorHAnsi" w:hAnsiTheme="majorHAnsi" w:cstheme="majorHAnsi"/>
                <w:lang w:val="en-US"/>
              </w:rPr>
            </w:pPr>
            <w:r w:rsidRPr="002E4D67">
              <w:rPr>
                <w:rFonts w:asciiTheme="majorHAnsi" w:hAnsiTheme="majorHAnsi" w:cstheme="majorHAnsi"/>
                <w:lang w:val="en-US"/>
              </w:rPr>
              <w:t xml:space="preserve">$WYND tokens are used as a </w:t>
            </w:r>
            <w:r w:rsidRPr="002E4D67">
              <w:rPr>
                <w:rStyle w:val="Fett"/>
                <w:rFonts w:asciiTheme="majorHAnsi" w:hAnsiTheme="majorHAnsi" w:cstheme="majorHAnsi"/>
                <w:b w:val="0"/>
                <w:bCs w:val="0"/>
                <w:lang w:val="en-US"/>
              </w:rPr>
              <w:t xml:space="preserve">digital </w:t>
            </w:r>
            <w:r w:rsidR="002E2530">
              <w:rPr>
                <w:rStyle w:val="Fett"/>
                <w:rFonts w:asciiTheme="majorHAnsi" w:hAnsiTheme="majorHAnsi" w:cstheme="majorHAnsi"/>
                <w:b w:val="0"/>
                <w:bCs w:val="0"/>
                <w:lang w:val="en-US"/>
              </w:rPr>
              <w:t xml:space="preserve">access, </w:t>
            </w:r>
            <w:r w:rsidRPr="002E4D67">
              <w:rPr>
                <w:rStyle w:val="Fett"/>
                <w:rFonts w:asciiTheme="majorHAnsi" w:hAnsiTheme="majorHAnsi" w:cstheme="majorHAnsi"/>
                <w:b w:val="0"/>
                <w:bCs w:val="0"/>
                <w:lang w:val="en-US"/>
              </w:rPr>
              <w:t>payment and booking medium</w:t>
            </w:r>
            <w:r w:rsidRPr="002E4D67">
              <w:rPr>
                <w:rFonts w:asciiTheme="majorHAnsi" w:hAnsiTheme="majorHAnsi" w:cstheme="majorHAnsi"/>
                <w:lang w:val="en-US"/>
              </w:rPr>
              <w:t xml:space="preserve"> for WYND services, including:</w:t>
            </w:r>
          </w:p>
          <w:p w14:paraId="04634F6B" w14:textId="77777777" w:rsidR="001073C5" w:rsidRPr="002E4D67" w:rsidRDefault="001073C5" w:rsidP="001073C5">
            <w:pPr>
              <w:pStyle w:val="Textkrper"/>
              <w:numPr>
                <w:ilvl w:val="0"/>
                <w:numId w:val="37"/>
              </w:numPr>
              <w:rPr>
                <w:rFonts w:asciiTheme="majorHAnsi" w:hAnsiTheme="majorHAnsi" w:cstheme="majorHAnsi"/>
                <w:lang w:val="en-US"/>
              </w:rPr>
            </w:pPr>
            <w:r w:rsidRPr="002E4D67">
              <w:rPr>
                <w:rFonts w:asciiTheme="majorHAnsi" w:hAnsiTheme="majorHAnsi" w:cstheme="majorHAnsi"/>
                <w:lang w:val="en-US"/>
              </w:rPr>
              <w:t>WYND Discovery Weeks (operational in the Red Sea since 2023)</w:t>
            </w:r>
          </w:p>
          <w:p w14:paraId="70EA6BE6" w14:textId="7BC26FD6" w:rsidR="001073C5" w:rsidRPr="002E4D67" w:rsidRDefault="001073C5" w:rsidP="001073C5">
            <w:pPr>
              <w:pStyle w:val="Textkrper"/>
              <w:numPr>
                <w:ilvl w:val="0"/>
                <w:numId w:val="37"/>
              </w:numPr>
              <w:rPr>
                <w:rFonts w:asciiTheme="majorHAnsi" w:hAnsiTheme="majorHAnsi" w:cstheme="majorHAnsi"/>
                <w:lang w:val="en-US"/>
              </w:rPr>
            </w:pPr>
            <w:r w:rsidRPr="002E4D67">
              <w:rPr>
                <w:rFonts w:asciiTheme="majorHAnsi" w:hAnsiTheme="majorHAnsi" w:cstheme="majorHAnsi"/>
                <w:lang w:val="en-US"/>
              </w:rPr>
              <w:t>WYND Yacht Voyages (from 202</w:t>
            </w:r>
            <w:r w:rsidR="002E2530">
              <w:rPr>
                <w:rFonts w:asciiTheme="majorHAnsi" w:hAnsiTheme="majorHAnsi" w:cstheme="majorHAnsi"/>
                <w:lang w:val="en-US"/>
              </w:rPr>
              <w:t>9</w:t>
            </w:r>
            <w:r w:rsidRPr="002E4D67">
              <w:rPr>
                <w:rFonts w:asciiTheme="majorHAnsi" w:hAnsiTheme="majorHAnsi" w:cstheme="majorHAnsi"/>
                <w:lang w:val="en-US"/>
              </w:rPr>
              <w:t xml:space="preserve"> onwards)</w:t>
            </w:r>
          </w:p>
          <w:p w14:paraId="6C3A40F3" w14:textId="77777777" w:rsidR="001073C5" w:rsidRPr="002E4D67" w:rsidRDefault="001073C5" w:rsidP="001073C5">
            <w:pPr>
              <w:pStyle w:val="Textkrper"/>
              <w:numPr>
                <w:ilvl w:val="0"/>
                <w:numId w:val="37"/>
              </w:numPr>
              <w:rPr>
                <w:rFonts w:asciiTheme="majorHAnsi" w:hAnsiTheme="majorHAnsi" w:cstheme="majorHAnsi"/>
                <w:lang w:val="en-US"/>
              </w:rPr>
            </w:pPr>
            <w:r w:rsidRPr="002E4D67">
              <w:rPr>
                <w:rFonts w:asciiTheme="majorHAnsi" w:hAnsiTheme="majorHAnsi" w:cstheme="majorHAnsi"/>
                <w:lang w:val="en-US"/>
              </w:rPr>
              <w:lastRenderedPageBreak/>
              <w:t>WYND Concierge &amp; Experiences</w:t>
            </w:r>
          </w:p>
          <w:p w14:paraId="11DAA7C9" w14:textId="77777777" w:rsidR="001073C5" w:rsidRPr="002E4D67" w:rsidRDefault="001073C5" w:rsidP="001073C5">
            <w:pPr>
              <w:pStyle w:val="Textkrper"/>
              <w:rPr>
                <w:rFonts w:asciiTheme="majorHAnsi" w:hAnsiTheme="majorHAnsi" w:cstheme="majorHAnsi"/>
                <w:lang w:val="en-US"/>
              </w:rPr>
            </w:pPr>
            <w:r w:rsidRPr="002E4D67">
              <w:rPr>
                <w:rFonts w:asciiTheme="majorHAnsi" w:hAnsiTheme="majorHAnsi" w:cstheme="majorHAnsi"/>
                <w:lang w:val="en-US"/>
              </w:rPr>
              <w:t>Future programs: WYND Jet and WYND Heli.</w:t>
            </w:r>
          </w:p>
          <w:p w14:paraId="1DBE52BF" w14:textId="77777777" w:rsidR="001073C5" w:rsidRPr="002E4D67" w:rsidRDefault="001073C5" w:rsidP="001073C5">
            <w:pPr>
              <w:pStyle w:val="Textkrper"/>
              <w:rPr>
                <w:rFonts w:asciiTheme="majorHAnsi" w:hAnsiTheme="majorHAnsi" w:cstheme="majorHAnsi"/>
                <w:lang w:val="en-US"/>
              </w:rPr>
            </w:pPr>
            <w:r w:rsidRPr="002E4D67">
              <w:rPr>
                <w:rFonts w:asciiTheme="majorHAnsi" w:hAnsiTheme="majorHAnsi" w:cstheme="majorHAnsi"/>
                <w:lang w:val="en-US"/>
              </w:rPr>
              <w:t xml:space="preserve">All services can be paid either in fiat or with $WYND tokens. </w:t>
            </w:r>
          </w:p>
          <w:p w14:paraId="61423241" w14:textId="426AFED0" w:rsidR="001073C5" w:rsidRPr="002E4D67" w:rsidRDefault="001073C5" w:rsidP="001073C5">
            <w:pPr>
              <w:pStyle w:val="Textkrper"/>
              <w:rPr>
                <w:rFonts w:asciiTheme="majorHAnsi" w:hAnsiTheme="majorHAnsi" w:cstheme="majorHAnsi"/>
                <w:lang w:val="en-US"/>
              </w:rPr>
            </w:pPr>
            <w:r w:rsidRPr="002E4D67">
              <w:rPr>
                <w:rFonts w:asciiTheme="majorHAnsi" w:hAnsiTheme="majorHAnsi" w:cstheme="majorHAnsi"/>
                <w:lang w:val="en-US"/>
              </w:rPr>
              <w:t xml:space="preserve">Payments made in $WYND receive a </w:t>
            </w:r>
            <w:r w:rsidRPr="002E4D67">
              <w:rPr>
                <w:rStyle w:val="Fett"/>
                <w:rFonts w:asciiTheme="majorHAnsi" w:hAnsiTheme="majorHAnsi" w:cstheme="majorHAnsi"/>
                <w:lang w:val="en-US"/>
              </w:rPr>
              <w:t>15 % discount</w:t>
            </w:r>
            <w:r w:rsidRPr="002E4D67">
              <w:rPr>
                <w:rFonts w:asciiTheme="majorHAnsi" w:hAnsiTheme="majorHAnsi" w:cstheme="majorHAnsi"/>
                <w:lang w:val="en-US"/>
              </w:rPr>
              <w:t xml:space="preserve"> versus fiat payments.</w:t>
            </w:r>
          </w:p>
          <w:p w14:paraId="57FF0109" w14:textId="078A52AF" w:rsidR="001073C5" w:rsidRPr="002E4D67" w:rsidRDefault="001073C5" w:rsidP="001073C5">
            <w:pPr>
              <w:pStyle w:val="Textkrper"/>
              <w:rPr>
                <w:rFonts w:asciiTheme="majorHAnsi" w:hAnsiTheme="majorHAnsi" w:cstheme="majorHAnsi"/>
                <w:lang w:val="en-US"/>
              </w:rPr>
            </w:pPr>
            <w:r w:rsidRPr="002E4D67">
              <w:rPr>
                <w:rFonts w:asciiTheme="majorHAnsi" w:hAnsiTheme="majorHAnsi" w:cstheme="majorHAnsi"/>
                <w:lang w:val="en-US"/>
              </w:rPr>
              <w:t xml:space="preserve">Prices are dynamically aligned to USD benchmarks through the </w:t>
            </w:r>
            <w:r w:rsidRPr="002E4D67">
              <w:rPr>
                <w:rStyle w:val="Fett"/>
                <w:rFonts w:asciiTheme="majorHAnsi" w:hAnsiTheme="majorHAnsi" w:cstheme="majorHAnsi"/>
                <w:b w:val="0"/>
                <w:bCs w:val="0"/>
                <w:lang w:val="en-US"/>
              </w:rPr>
              <w:t>WYND Price Index (WPI)</w:t>
            </w:r>
            <w:r w:rsidRPr="002E4D67">
              <w:rPr>
                <w:rFonts w:asciiTheme="majorHAnsi" w:hAnsiTheme="majorHAnsi" w:cstheme="majorHAnsi"/>
                <w:b/>
                <w:bCs/>
                <w:lang w:val="en-US"/>
              </w:rPr>
              <w:t>.</w:t>
            </w:r>
          </w:p>
          <w:p w14:paraId="6CD78B9C" w14:textId="77777777" w:rsidR="001073C5" w:rsidRPr="002E4D67" w:rsidRDefault="001073C5" w:rsidP="001073C5">
            <w:pPr>
              <w:pStyle w:val="Textkrper"/>
              <w:rPr>
                <w:rFonts w:asciiTheme="majorHAnsi" w:hAnsiTheme="majorHAnsi" w:cstheme="majorHAnsi"/>
                <w:lang w:val="en-US"/>
              </w:rPr>
            </w:pPr>
            <w:r w:rsidRPr="002E4D67">
              <w:rPr>
                <w:rStyle w:val="Fett"/>
                <w:rFonts w:asciiTheme="majorHAnsi" w:hAnsiTheme="majorHAnsi" w:cstheme="majorHAnsi"/>
                <w:lang w:val="en-US"/>
              </w:rPr>
              <w:t>2. Staking and Membership Activation</w:t>
            </w:r>
          </w:p>
          <w:p w14:paraId="2413DB9B" w14:textId="21BB464A" w:rsidR="001073C5" w:rsidRPr="002E4D67" w:rsidRDefault="001073C5" w:rsidP="001073C5">
            <w:pPr>
              <w:pStyle w:val="Textkrper"/>
              <w:rPr>
                <w:rFonts w:asciiTheme="majorHAnsi" w:hAnsiTheme="majorHAnsi" w:cstheme="majorHAnsi"/>
                <w:lang w:val="en-US"/>
              </w:rPr>
            </w:pPr>
            <w:r w:rsidRPr="002E4D67">
              <w:rPr>
                <w:rFonts w:asciiTheme="majorHAnsi" w:hAnsiTheme="majorHAnsi" w:cstheme="majorHAnsi"/>
                <w:lang w:val="en-US"/>
              </w:rPr>
              <w:t xml:space="preserve">Token holders may </w:t>
            </w:r>
            <w:r w:rsidRPr="002E4D67">
              <w:rPr>
                <w:rStyle w:val="Fett"/>
                <w:rFonts w:asciiTheme="majorHAnsi" w:hAnsiTheme="majorHAnsi" w:cstheme="majorHAnsi"/>
                <w:lang w:val="en-US"/>
              </w:rPr>
              <w:t>stake</w:t>
            </w:r>
            <w:r w:rsidRPr="002E4D67">
              <w:rPr>
                <w:rFonts w:asciiTheme="majorHAnsi" w:hAnsiTheme="majorHAnsi" w:cstheme="majorHAnsi"/>
                <w:lang w:val="en-US"/>
              </w:rPr>
              <w:t xml:space="preserve"> $WYND tokens for fixed periods (3 – 36 months) which can unlock higher membership tiers with benefits such as early-booking rights, exclusive events, and loyalty privileges.</w:t>
            </w:r>
          </w:p>
          <w:p w14:paraId="302A1FFB" w14:textId="4A645E81" w:rsidR="001073C5" w:rsidRPr="002E4D67" w:rsidRDefault="001073C5" w:rsidP="001073C5">
            <w:pPr>
              <w:pStyle w:val="Textkrper"/>
              <w:rPr>
                <w:rFonts w:asciiTheme="majorHAnsi" w:hAnsiTheme="majorHAnsi" w:cstheme="majorHAnsi"/>
                <w:lang w:val="en-US"/>
              </w:rPr>
            </w:pPr>
            <w:r w:rsidRPr="002E4D67">
              <w:rPr>
                <w:rFonts w:asciiTheme="majorHAnsi" w:hAnsiTheme="majorHAnsi" w:cstheme="majorHAnsi"/>
                <w:lang w:val="en-US"/>
              </w:rPr>
              <w:t xml:space="preserve">Staked tokens remain </w:t>
            </w:r>
            <w:r w:rsidRPr="002E4D67">
              <w:rPr>
                <w:rStyle w:val="Fett"/>
                <w:rFonts w:asciiTheme="majorHAnsi" w:hAnsiTheme="majorHAnsi" w:cstheme="majorHAnsi"/>
                <w:lang w:val="en-US"/>
              </w:rPr>
              <w:t>non-transferable during lock-up</w:t>
            </w:r>
            <w:r w:rsidRPr="002E4D67">
              <w:rPr>
                <w:rFonts w:asciiTheme="majorHAnsi" w:hAnsiTheme="majorHAnsi" w:cstheme="majorHAnsi"/>
                <w:lang w:val="en-US"/>
              </w:rPr>
              <w:t xml:space="preserve"> and yield </w:t>
            </w:r>
            <w:r w:rsidRPr="002E4D67">
              <w:rPr>
                <w:rStyle w:val="Fett"/>
                <w:rFonts w:asciiTheme="majorHAnsi" w:hAnsiTheme="majorHAnsi" w:cstheme="majorHAnsi"/>
                <w:lang w:val="en-US"/>
              </w:rPr>
              <w:t>no financial return</w:t>
            </w:r>
            <w:r w:rsidRPr="002E4D67">
              <w:rPr>
                <w:rFonts w:asciiTheme="majorHAnsi" w:hAnsiTheme="majorHAnsi" w:cstheme="majorHAnsi"/>
                <w:lang w:val="en-US"/>
              </w:rPr>
              <w:t>.</w:t>
            </w:r>
          </w:p>
          <w:p w14:paraId="5B19BF6B" w14:textId="77777777" w:rsidR="001073C5" w:rsidRPr="002E4D67" w:rsidRDefault="001073C5" w:rsidP="001073C5">
            <w:pPr>
              <w:pStyle w:val="Textkrper"/>
              <w:rPr>
                <w:rFonts w:asciiTheme="majorHAnsi" w:hAnsiTheme="majorHAnsi" w:cstheme="majorHAnsi"/>
                <w:lang w:val="en-US"/>
              </w:rPr>
            </w:pPr>
            <w:r w:rsidRPr="002E4D67">
              <w:rPr>
                <w:rStyle w:val="Fett"/>
                <w:rFonts w:asciiTheme="majorHAnsi" w:hAnsiTheme="majorHAnsi" w:cstheme="majorHAnsi"/>
                <w:lang w:val="en-US"/>
              </w:rPr>
              <w:t>3. Technical and Operational Framework</w:t>
            </w:r>
          </w:p>
          <w:p w14:paraId="05D1408B" w14:textId="77777777" w:rsidR="001073C5" w:rsidRPr="002E4D67" w:rsidRDefault="001073C5" w:rsidP="001073C5">
            <w:pPr>
              <w:pStyle w:val="Textkrper"/>
              <w:rPr>
                <w:rFonts w:asciiTheme="majorHAnsi" w:hAnsiTheme="majorHAnsi" w:cstheme="majorHAnsi"/>
                <w:lang w:val="en-US"/>
              </w:rPr>
            </w:pPr>
            <w:r w:rsidRPr="002E4D67">
              <w:rPr>
                <w:rFonts w:asciiTheme="majorHAnsi" w:hAnsiTheme="majorHAnsi" w:cstheme="majorHAnsi"/>
                <w:lang w:val="en-US"/>
              </w:rPr>
              <w:t xml:space="preserve">The $WYND token follows the </w:t>
            </w:r>
            <w:r w:rsidRPr="002E4D67">
              <w:rPr>
                <w:rStyle w:val="Fett"/>
                <w:rFonts w:asciiTheme="majorHAnsi" w:hAnsiTheme="majorHAnsi" w:cstheme="majorHAnsi"/>
                <w:lang w:val="en-US"/>
              </w:rPr>
              <w:t>ERC-20 standard</w:t>
            </w:r>
            <w:r w:rsidRPr="002E4D67">
              <w:rPr>
                <w:rFonts w:asciiTheme="majorHAnsi" w:hAnsiTheme="majorHAnsi" w:cstheme="majorHAnsi"/>
                <w:lang w:val="en-US"/>
              </w:rPr>
              <w:t xml:space="preserve"> on the </w:t>
            </w:r>
            <w:r w:rsidRPr="002E4D67">
              <w:rPr>
                <w:rStyle w:val="Fett"/>
                <w:rFonts w:asciiTheme="majorHAnsi" w:hAnsiTheme="majorHAnsi" w:cstheme="majorHAnsi"/>
                <w:lang w:val="en-US"/>
              </w:rPr>
              <w:t>Ethereum Proof-of-Stake network</w:t>
            </w:r>
            <w:r w:rsidRPr="002E4D67">
              <w:rPr>
                <w:rFonts w:asciiTheme="majorHAnsi" w:hAnsiTheme="majorHAnsi" w:cstheme="majorHAnsi"/>
                <w:lang w:val="en-US"/>
              </w:rPr>
              <w:t>.</w:t>
            </w:r>
          </w:p>
          <w:p w14:paraId="47A5D1B6" w14:textId="77777777" w:rsidR="001073C5" w:rsidRPr="002E4D67" w:rsidRDefault="001073C5" w:rsidP="001073C5">
            <w:pPr>
              <w:pStyle w:val="Textkrper"/>
              <w:rPr>
                <w:rFonts w:asciiTheme="majorHAnsi" w:hAnsiTheme="majorHAnsi" w:cstheme="majorHAnsi"/>
                <w:lang w:val="en-US"/>
              </w:rPr>
            </w:pPr>
            <w:r w:rsidRPr="002E4D67">
              <w:rPr>
                <w:rFonts w:asciiTheme="majorHAnsi" w:hAnsiTheme="majorHAnsi" w:cstheme="majorHAnsi"/>
                <w:lang w:val="en-US"/>
              </w:rPr>
              <w:t xml:space="preserve">All token functions (payment, staking, AC-conversion) are executed through </w:t>
            </w:r>
            <w:r w:rsidRPr="002E4D67">
              <w:rPr>
                <w:rStyle w:val="Fett"/>
                <w:rFonts w:asciiTheme="majorHAnsi" w:hAnsiTheme="majorHAnsi" w:cstheme="majorHAnsi"/>
                <w:lang w:val="en-US"/>
              </w:rPr>
              <w:t>audited smart contracts</w:t>
            </w:r>
            <w:r w:rsidRPr="002E4D67">
              <w:rPr>
                <w:rFonts w:asciiTheme="majorHAnsi" w:hAnsiTheme="majorHAnsi" w:cstheme="majorHAnsi"/>
                <w:lang w:val="en-US"/>
              </w:rPr>
              <w:t>.</w:t>
            </w:r>
          </w:p>
          <w:p w14:paraId="3F6B1C51" w14:textId="77777777" w:rsidR="001073C5" w:rsidRPr="002E4D67" w:rsidRDefault="001073C5" w:rsidP="001073C5">
            <w:pPr>
              <w:pStyle w:val="Textkrper"/>
              <w:rPr>
                <w:rFonts w:asciiTheme="majorHAnsi" w:hAnsiTheme="majorHAnsi" w:cstheme="majorHAnsi"/>
                <w:lang w:val="en-US"/>
              </w:rPr>
            </w:pPr>
            <w:r w:rsidRPr="002E4D67">
              <w:rPr>
                <w:rFonts w:asciiTheme="majorHAnsi" w:hAnsiTheme="majorHAnsi" w:cstheme="majorHAnsi"/>
                <w:lang w:val="en-US"/>
              </w:rPr>
              <w:t xml:space="preserve">Users access these services via the </w:t>
            </w:r>
            <w:r w:rsidRPr="002E4D67">
              <w:rPr>
                <w:rStyle w:val="Fett"/>
                <w:rFonts w:asciiTheme="majorHAnsi" w:hAnsiTheme="majorHAnsi" w:cstheme="majorHAnsi"/>
                <w:lang w:val="en-US"/>
              </w:rPr>
              <w:t>WYND Platform Interface (wynd.group)</w:t>
            </w:r>
            <w:r w:rsidRPr="002E4D67">
              <w:rPr>
                <w:rFonts w:asciiTheme="majorHAnsi" w:hAnsiTheme="majorHAnsi" w:cstheme="majorHAnsi"/>
                <w:lang w:val="en-US"/>
              </w:rPr>
              <w:t>, connecting their wallets securely to the ecosystem.</w:t>
            </w:r>
          </w:p>
          <w:p w14:paraId="62DF1675" w14:textId="0B2A2A2B" w:rsidR="001073C5" w:rsidRPr="002E4D67" w:rsidRDefault="001073C5" w:rsidP="001073C5">
            <w:pPr>
              <w:pStyle w:val="Textkrper"/>
              <w:rPr>
                <w:rFonts w:cstheme="minorHAnsi"/>
                <w:lang w:val="en-US"/>
              </w:rPr>
            </w:pPr>
            <w:r w:rsidRPr="002E4D67">
              <w:rPr>
                <w:rFonts w:asciiTheme="majorHAnsi" w:hAnsiTheme="majorHAnsi" w:cstheme="majorHAnsi"/>
                <w:lang w:val="en-US"/>
              </w:rPr>
              <w:t>WYND Capital GmbH may adjust non-essential parameters (e.g., WPI calibration, staking duration) to maintain technical stability and regulatory compliance under the WYND Terms of Use.</w:t>
            </w:r>
          </w:p>
        </w:tc>
      </w:tr>
      <w:tr w:rsidR="001073C5" w:rsidRPr="002E4D67" w14:paraId="580306C8" w14:textId="77777777" w:rsidTr="00D64090">
        <w:tc>
          <w:tcPr>
            <w:tcW w:w="1985" w:type="dxa"/>
          </w:tcPr>
          <w:p w14:paraId="0F771045" w14:textId="70E94CDA" w:rsidR="001073C5" w:rsidRPr="002E4D67" w:rsidRDefault="001073C5" w:rsidP="001073C5">
            <w:pPr>
              <w:pStyle w:val="berschrift1"/>
              <w:keepNext w:val="0"/>
              <w:keepLines w:val="0"/>
              <w:rPr>
                <w:lang w:val="en-US"/>
              </w:rPr>
            </w:pPr>
            <w:bookmarkStart w:id="312" w:name="_Toc212017954"/>
            <w:bookmarkStart w:id="313" w:name="_Toc213164203"/>
            <w:bookmarkStart w:id="314" w:name="_Toc213179187"/>
            <w:r w:rsidRPr="002E4D67">
              <w:rPr>
                <w:lang w:val="en-US"/>
              </w:rPr>
              <w:lastRenderedPageBreak/>
              <w:t>F.3 Planned application of functionalities</w:t>
            </w:r>
            <w:bookmarkEnd w:id="312"/>
            <w:bookmarkEnd w:id="313"/>
            <w:bookmarkEnd w:id="314"/>
          </w:p>
        </w:tc>
        <w:tc>
          <w:tcPr>
            <w:tcW w:w="6371" w:type="dxa"/>
          </w:tcPr>
          <w:p w14:paraId="65B7D213" w14:textId="77777777" w:rsidR="001073C5" w:rsidRPr="002E4D67" w:rsidRDefault="001073C5" w:rsidP="001073C5">
            <w:pPr>
              <w:pStyle w:val="Textkrper"/>
              <w:rPr>
                <w:rFonts w:cstheme="minorHAnsi"/>
                <w:lang w:val="en-US"/>
              </w:rPr>
            </w:pPr>
            <w:r w:rsidRPr="002E4D67">
              <w:rPr>
                <w:rFonts w:cstheme="minorHAnsi"/>
                <w:lang w:val="en-US"/>
              </w:rPr>
              <w:t>The functionalities of the $WYND token, will be active from the beginning of the public sale and upon successful staking by the clients</w:t>
            </w:r>
          </w:p>
        </w:tc>
      </w:tr>
      <w:tr w:rsidR="001073C5" w:rsidRPr="002E4D67" w14:paraId="6AC99DFE" w14:textId="77777777" w:rsidTr="00DA3A2D">
        <w:tc>
          <w:tcPr>
            <w:tcW w:w="8356" w:type="dxa"/>
            <w:gridSpan w:val="2"/>
          </w:tcPr>
          <w:p w14:paraId="6ED13420" w14:textId="63818CCD" w:rsidR="001073C5" w:rsidRPr="002E4D67" w:rsidRDefault="001073C5" w:rsidP="001073C5">
            <w:pPr>
              <w:pStyle w:val="Textkrper"/>
              <w:rPr>
                <w:rFonts w:cstheme="minorHAnsi"/>
                <w:lang w:val="en-US"/>
              </w:rPr>
            </w:pPr>
            <w:r w:rsidRPr="002E4D67">
              <w:rPr>
                <w:rFonts w:cstheme="minorHAnsi"/>
                <w:lang w:val="en-US"/>
              </w:rPr>
              <w:t>A description of the characteristics of the crypto-asset, including the data necessary for classification of the crypto-asset white paper in the register referred to in Article 109 of Regulation (EU) 2023/1114, as specified in accordance with paragraph 8 of that Article</w:t>
            </w:r>
          </w:p>
        </w:tc>
      </w:tr>
      <w:tr w:rsidR="001073C5" w:rsidRPr="002E4D67" w14:paraId="550AAB7F" w14:textId="77777777" w:rsidTr="00D64090">
        <w:tc>
          <w:tcPr>
            <w:tcW w:w="1985" w:type="dxa"/>
          </w:tcPr>
          <w:p w14:paraId="6D65D342" w14:textId="0F5FD381" w:rsidR="001073C5" w:rsidRPr="002E4D67" w:rsidRDefault="001073C5" w:rsidP="001073C5">
            <w:pPr>
              <w:pStyle w:val="berschrift1"/>
              <w:keepNext w:val="0"/>
              <w:keepLines w:val="0"/>
              <w:rPr>
                <w:lang w:val="en-US"/>
              </w:rPr>
            </w:pPr>
            <w:bookmarkStart w:id="315" w:name="_Toc212017956"/>
            <w:bookmarkStart w:id="316" w:name="_Toc213164204"/>
            <w:bookmarkStart w:id="317" w:name="_Toc213179188"/>
            <w:r w:rsidRPr="002E4D67">
              <w:rPr>
                <w:lang w:val="en-US"/>
              </w:rPr>
              <w:lastRenderedPageBreak/>
              <w:t>F.4 Type of crypto-asset white paper</w:t>
            </w:r>
            <w:bookmarkEnd w:id="315"/>
            <w:bookmarkEnd w:id="316"/>
            <w:bookmarkEnd w:id="317"/>
          </w:p>
        </w:tc>
        <w:tc>
          <w:tcPr>
            <w:tcW w:w="6371" w:type="dxa"/>
          </w:tcPr>
          <w:p w14:paraId="76667E5D" w14:textId="2678B3DD" w:rsidR="001073C5" w:rsidRPr="002E4D67" w:rsidRDefault="001073C5" w:rsidP="001073C5">
            <w:pPr>
              <w:pStyle w:val="Textkrper"/>
              <w:rPr>
                <w:rFonts w:cstheme="minorHAnsi"/>
                <w:lang w:val="en-US"/>
              </w:rPr>
            </w:pPr>
            <w:r w:rsidRPr="002E4D67">
              <w:rPr>
                <w:rFonts w:cstheme="minorHAnsi"/>
                <w:lang w:val="en-US"/>
              </w:rPr>
              <w:t>OTHER (Other)</w:t>
            </w:r>
          </w:p>
        </w:tc>
      </w:tr>
      <w:tr w:rsidR="001073C5" w:rsidRPr="002E4D67" w14:paraId="36C235DE" w14:textId="77777777" w:rsidTr="00D64090">
        <w:tc>
          <w:tcPr>
            <w:tcW w:w="1985" w:type="dxa"/>
          </w:tcPr>
          <w:p w14:paraId="6DDD30B2" w14:textId="1DC1654D" w:rsidR="001073C5" w:rsidRPr="002E4D67" w:rsidRDefault="001073C5" w:rsidP="001073C5">
            <w:pPr>
              <w:pStyle w:val="berschrift1"/>
              <w:keepNext w:val="0"/>
              <w:keepLines w:val="0"/>
              <w:rPr>
                <w:lang w:val="en-US"/>
              </w:rPr>
            </w:pPr>
            <w:bookmarkStart w:id="318" w:name="_Toc212017958"/>
            <w:bookmarkStart w:id="319" w:name="_Toc213164205"/>
            <w:bookmarkStart w:id="320" w:name="_Toc213179189"/>
            <w:r w:rsidRPr="002E4D67">
              <w:rPr>
                <w:lang w:val="en-US"/>
              </w:rPr>
              <w:t>F.5 The type of submission</w:t>
            </w:r>
            <w:bookmarkEnd w:id="318"/>
            <w:bookmarkEnd w:id="319"/>
            <w:bookmarkEnd w:id="320"/>
          </w:p>
        </w:tc>
        <w:tc>
          <w:tcPr>
            <w:tcW w:w="6371" w:type="dxa"/>
          </w:tcPr>
          <w:p w14:paraId="59A1FF0B" w14:textId="5A5D4F72" w:rsidR="00627149" w:rsidRPr="002E4D67" w:rsidRDefault="00627149" w:rsidP="009E72DF">
            <w:pPr>
              <w:pStyle w:val="Textkrper"/>
              <w:jc w:val="left"/>
              <w:rPr>
                <w:rFonts w:cstheme="minorHAnsi"/>
                <w:lang w:val="en-US"/>
              </w:rPr>
            </w:pPr>
            <w:r>
              <w:t>Initial submission of the crypto-asset white paper pursuant to Article 8 MiCAR.</w:t>
            </w:r>
          </w:p>
        </w:tc>
      </w:tr>
      <w:tr w:rsidR="001073C5" w:rsidRPr="002E4D67" w14:paraId="5A2C8922" w14:textId="77777777" w:rsidTr="00D64090">
        <w:tc>
          <w:tcPr>
            <w:tcW w:w="1985" w:type="dxa"/>
          </w:tcPr>
          <w:p w14:paraId="3D80F520" w14:textId="5DD2F082" w:rsidR="001073C5" w:rsidRPr="002E4D67" w:rsidRDefault="001073C5" w:rsidP="009E72DF">
            <w:pPr>
              <w:pStyle w:val="berschrift1"/>
              <w:keepNext w:val="0"/>
              <w:keepLines w:val="0"/>
              <w:rPr>
                <w:lang w:val="en-US"/>
              </w:rPr>
            </w:pPr>
            <w:bookmarkStart w:id="321" w:name="_Toc212017960"/>
            <w:bookmarkStart w:id="322" w:name="_Toc213164206"/>
            <w:bookmarkStart w:id="323" w:name="_Toc213179190"/>
            <w:r w:rsidRPr="002E4D67">
              <w:rPr>
                <w:lang w:val="en-US"/>
              </w:rPr>
              <w:t>F.6 Crypto-asset characteristics</w:t>
            </w:r>
            <w:bookmarkEnd w:id="321"/>
            <w:bookmarkEnd w:id="322"/>
            <w:bookmarkEnd w:id="323"/>
          </w:p>
        </w:tc>
        <w:tc>
          <w:tcPr>
            <w:tcW w:w="6371" w:type="dxa"/>
          </w:tcPr>
          <w:p w14:paraId="785FE3EF" w14:textId="77777777" w:rsidR="00627149" w:rsidRDefault="00627149" w:rsidP="009E72DF">
            <w:pPr>
              <w:pStyle w:val="Textkrper"/>
              <w:jc w:val="left"/>
            </w:pPr>
            <w:r>
              <w:t>Description of the crypto-asset characteristics:</w:t>
            </w:r>
          </w:p>
          <w:p w14:paraId="0FBFE193" w14:textId="4C83D3C4" w:rsidR="001073C5" w:rsidRPr="002E4D67" w:rsidRDefault="001073C5" w:rsidP="009E72DF">
            <w:pPr>
              <w:pStyle w:val="Textkrper"/>
              <w:jc w:val="left"/>
              <w:rPr>
                <w:rFonts w:cstheme="minorHAnsi"/>
                <w:b/>
                <w:bCs/>
                <w:color w:val="222222"/>
                <w:lang w:val="en-US"/>
              </w:rPr>
            </w:pPr>
            <w:r w:rsidRPr="002E4D67">
              <w:rPr>
                <w:rFonts w:cstheme="minorHAnsi"/>
                <w:b/>
                <w:bCs/>
                <w:color w:val="222222"/>
                <w:shd w:val="clear" w:color="auto" w:fill="FFFFFF"/>
                <w:lang w:val="en-US"/>
              </w:rPr>
              <w:t>1. Name, symbol, and token type</w:t>
            </w:r>
          </w:p>
          <w:p w14:paraId="52BF9034" w14:textId="6F6BA5AD" w:rsidR="001073C5" w:rsidRPr="002E4D67" w:rsidRDefault="001073C5" w:rsidP="009E72DF">
            <w:pPr>
              <w:pStyle w:val="Textkrper"/>
              <w:jc w:val="left"/>
              <w:rPr>
                <w:rFonts w:cstheme="minorHAnsi"/>
                <w:color w:val="222222"/>
                <w:lang w:val="en-US"/>
              </w:rPr>
            </w:pPr>
            <w:r w:rsidRPr="002E4D67">
              <w:rPr>
                <w:rFonts w:cstheme="minorHAnsi"/>
                <w:color w:val="222222"/>
                <w:lang w:val="en-US"/>
              </w:rPr>
              <w:t xml:space="preserve">- </w:t>
            </w:r>
            <w:r w:rsidRPr="002E4D67">
              <w:rPr>
                <w:rFonts w:cstheme="minorHAnsi"/>
                <w:color w:val="222222"/>
                <w:shd w:val="clear" w:color="auto" w:fill="FFFFFF"/>
                <w:lang w:val="en-US"/>
              </w:rPr>
              <w:t>Token name: WYND Utility Token</w:t>
            </w:r>
          </w:p>
          <w:p w14:paraId="2A501ABD" w14:textId="77777777" w:rsidR="001073C5" w:rsidRPr="002E4D67" w:rsidRDefault="001073C5" w:rsidP="009E72DF">
            <w:pPr>
              <w:pStyle w:val="Textkrper"/>
              <w:jc w:val="left"/>
              <w:rPr>
                <w:rFonts w:cstheme="minorHAnsi"/>
                <w:color w:val="222222"/>
                <w:lang w:val="en-US"/>
              </w:rPr>
            </w:pPr>
            <w:r w:rsidRPr="002E4D67">
              <w:rPr>
                <w:rFonts w:cstheme="minorHAnsi"/>
                <w:color w:val="222222"/>
                <w:lang w:val="en-US"/>
              </w:rPr>
              <w:t xml:space="preserve">- </w:t>
            </w:r>
            <w:r w:rsidRPr="002E4D67">
              <w:rPr>
                <w:rFonts w:cstheme="minorHAnsi"/>
                <w:color w:val="222222"/>
                <w:shd w:val="clear" w:color="auto" w:fill="FFFFFF"/>
                <w:lang w:val="en-US"/>
              </w:rPr>
              <w:t>Token symbol: $WYND</w:t>
            </w:r>
          </w:p>
          <w:p w14:paraId="566D8ED4" w14:textId="2154010D" w:rsidR="001073C5" w:rsidRDefault="001073C5" w:rsidP="009E72DF">
            <w:pPr>
              <w:pStyle w:val="Textkrper"/>
              <w:jc w:val="left"/>
              <w:rPr>
                <w:rFonts w:cstheme="minorHAnsi"/>
                <w:color w:val="222222"/>
                <w:shd w:val="clear" w:color="auto" w:fill="FFFFFF"/>
                <w:lang w:val="en-US"/>
              </w:rPr>
            </w:pPr>
            <w:r w:rsidRPr="002E4D67">
              <w:rPr>
                <w:rFonts w:cstheme="minorHAnsi"/>
                <w:color w:val="222222"/>
                <w:shd w:val="clear" w:color="auto" w:fill="FFFFFF"/>
                <w:lang w:val="en-US"/>
              </w:rPr>
              <w:t>- Token standard: ERC-20</w:t>
            </w:r>
          </w:p>
          <w:p w14:paraId="56760116" w14:textId="15884A53" w:rsidR="008238D0" w:rsidRPr="008238D0" w:rsidRDefault="008238D0" w:rsidP="008238D0">
            <w:pPr>
              <w:pStyle w:val="Textkrper"/>
              <w:jc w:val="left"/>
              <w:rPr>
                <w:rFonts w:cstheme="minorHAnsi"/>
                <w:color w:val="222222"/>
                <w:lang w:val="en-US"/>
              </w:rPr>
            </w:pPr>
            <w:r>
              <w:rPr>
                <w:rFonts w:cstheme="minorHAnsi"/>
                <w:color w:val="222222"/>
                <w:shd w:val="clear" w:color="auto" w:fill="FFFFFF"/>
                <w:lang w:val="en-US"/>
              </w:rPr>
              <w:t>-</w:t>
            </w:r>
            <w:r w:rsidRPr="008238D0">
              <w:rPr>
                <w:b/>
                <w:bCs/>
              </w:rPr>
              <w:t xml:space="preserve"> </w:t>
            </w:r>
            <w:r w:rsidRPr="008238D0">
              <w:rPr>
                <w:rStyle w:val="Fett"/>
                <w:b w:val="0"/>
                <w:bCs w:val="0"/>
              </w:rPr>
              <w:t>Contract Address:</w:t>
            </w:r>
            <w:r>
              <w:rPr>
                <w:b/>
                <w:bCs/>
              </w:rPr>
              <w:t xml:space="preserve"> </w:t>
            </w:r>
            <w:r w:rsidRPr="008238D0">
              <w:t>0x40D00AE57593a3D11367eF002c297311B60B1FE2</w:t>
            </w:r>
          </w:p>
          <w:p w14:paraId="0814824F" w14:textId="229BE641" w:rsidR="008238D0" w:rsidRPr="008238D0" w:rsidRDefault="008238D0" w:rsidP="008238D0">
            <w:pPr>
              <w:pStyle w:val="StandardWeb"/>
              <w:jc w:val="left"/>
              <w:rPr>
                <w:b/>
                <w:bCs/>
              </w:rPr>
            </w:pPr>
            <w:r>
              <w:rPr>
                <w:rFonts w:hAnsi="Symbol"/>
                <w:b/>
                <w:bCs/>
              </w:rPr>
              <w:t xml:space="preserve">- </w:t>
            </w:r>
            <w:r w:rsidRPr="008238D0">
              <w:rPr>
                <w:rStyle w:val="Fett"/>
                <w:b w:val="0"/>
                <w:bCs w:val="0"/>
              </w:rPr>
              <w:t>Decimals:</w:t>
            </w:r>
            <w:r w:rsidRPr="008238D0">
              <w:rPr>
                <w:b/>
                <w:bCs/>
              </w:rPr>
              <w:t xml:space="preserve"> </w:t>
            </w:r>
            <w:r w:rsidRPr="008238D0">
              <w:t>18</w:t>
            </w:r>
          </w:p>
          <w:p w14:paraId="0B1FECAC" w14:textId="760336C4" w:rsidR="001073C5" w:rsidRPr="002E4D67" w:rsidRDefault="001073C5" w:rsidP="009E72DF">
            <w:pPr>
              <w:pStyle w:val="Textkrper"/>
              <w:jc w:val="left"/>
              <w:rPr>
                <w:rFonts w:cstheme="minorHAnsi"/>
                <w:color w:val="222222"/>
                <w:shd w:val="clear" w:color="auto" w:fill="FFFFFF"/>
                <w:lang w:val="en-US"/>
              </w:rPr>
            </w:pPr>
            <w:r w:rsidRPr="002E4D67">
              <w:rPr>
                <w:rFonts w:cstheme="minorHAnsi"/>
                <w:color w:val="222222"/>
                <w:lang w:val="en-US"/>
              </w:rPr>
              <w:br/>
            </w:r>
            <w:r w:rsidRPr="002E4D67">
              <w:rPr>
                <w:rFonts w:cstheme="minorHAnsi"/>
                <w:b/>
                <w:bCs/>
                <w:color w:val="222222"/>
                <w:shd w:val="clear" w:color="auto" w:fill="FFFFFF"/>
                <w:lang w:val="en-US"/>
              </w:rPr>
              <w:t>2. Functionality and purpose</w:t>
            </w:r>
          </w:p>
          <w:p w14:paraId="75E8E59F" w14:textId="77777777" w:rsidR="001073C5" w:rsidRPr="002E4D67" w:rsidRDefault="001073C5" w:rsidP="009E72DF">
            <w:pPr>
              <w:pStyle w:val="Textkrper"/>
              <w:jc w:val="left"/>
              <w:rPr>
                <w:rFonts w:cstheme="minorHAnsi"/>
                <w:color w:val="222222"/>
                <w:lang w:val="en-US"/>
              </w:rPr>
            </w:pPr>
            <w:r w:rsidRPr="002E4D67">
              <w:rPr>
                <w:rFonts w:cstheme="minorHAnsi"/>
                <w:color w:val="222222"/>
                <w:shd w:val="clear" w:color="auto" w:fill="FFFFFF"/>
                <w:lang w:val="en-US"/>
              </w:rPr>
              <w:t>The $WYND Token is a utility token serving as a digital access and booking instrument across the WYND ecosystem (Discovery Weeks, WYND Yacht, Concierge &amp; Experiences, Jet &amp; Heli).</w:t>
            </w:r>
            <w:r w:rsidRPr="002E4D67">
              <w:rPr>
                <w:rFonts w:cstheme="minorHAnsi"/>
                <w:color w:val="222222"/>
                <w:lang w:val="en-US"/>
              </w:rPr>
              <w:br/>
            </w:r>
            <w:r w:rsidRPr="002E4D67">
              <w:rPr>
                <w:rFonts w:cstheme="minorHAnsi"/>
                <w:color w:val="222222"/>
                <w:shd w:val="clear" w:color="auto" w:fill="FFFFFF"/>
                <w:lang w:val="en-US"/>
              </w:rPr>
              <w:t>Token holders benefit from a 15% discount when paying with $WYND compared to fiat.</w:t>
            </w:r>
            <w:r w:rsidRPr="002E4D67">
              <w:rPr>
                <w:rFonts w:cstheme="minorHAnsi"/>
                <w:color w:val="222222"/>
                <w:lang w:val="en-US"/>
              </w:rPr>
              <w:br/>
            </w:r>
            <w:r w:rsidRPr="002E4D67">
              <w:rPr>
                <w:rFonts w:cstheme="minorHAnsi"/>
                <w:color w:val="222222"/>
                <w:lang w:val="en-US"/>
              </w:rPr>
              <w:br/>
            </w:r>
            <w:r w:rsidRPr="002E4D67">
              <w:rPr>
                <w:rFonts w:cstheme="minorHAnsi"/>
                <w:b/>
                <w:bCs/>
                <w:color w:val="222222"/>
                <w:shd w:val="clear" w:color="auto" w:fill="FFFFFF"/>
                <w:lang w:val="en-US"/>
              </w:rPr>
              <w:t>3. Transferability and usage</w:t>
            </w:r>
          </w:p>
          <w:p w14:paraId="6D38F7C0" w14:textId="77777777" w:rsidR="001073C5" w:rsidRPr="002E4D67" w:rsidRDefault="001073C5" w:rsidP="009E72DF">
            <w:pPr>
              <w:pStyle w:val="Textkrper"/>
              <w:jc w:val="left"/>
              <w:rPr>
                <w:rFonts w:cstheme="minorHAnsi"/>
                <w:color w:val="222222"/>
                <w:lang w:val="en-US"/>
              </w:rPr>
            </w:pPr>
            <w:r w:rsidRPr="002E4D67">
              <w:rPr>
                <w:rFonts w:cstheme="minorHAnsi"/>
                <w:color w:val="222222"/>
                <w:shd w:val="clear" w:color="auto" w:fill="FFFFFF"/>
                <w:lang w:val="en-US"/>
              </w:rPr>
              <w:t>Tokens are freely transferable between eligible wallets, subject to KYC/AML requirements.</w:t>
            </w:r>
          </w:p>
          <w:p w14:paraId="0D698F80" w14:textId="77777777" w:rsidR="001073C5" w:rsidRPr="002E4D67" w:rsidRDefault="001073C5" w:rsidP="009E72DF">
            <w:pPr>
              <w:pStyle w:val="Textkrper"/>
              <w:jc w:val="left"/>
              <w:rPr>
                <w:rFonts w:cstheme="minorHAnsi"/>
                <w:color w:val="222222"/>
                <w:lang w:val="en-US"/>
              </w:rPr>
            </w:pPr>
            <w:r w:rsidRPr="002E4D67">
              <w:rPr>
                <w:rFonts w:cstheme="minorHAnsi"/>
                <w:color w:val="222222"/>
                <w:shd w:val="clear" w:color="auto" w:fill="FFFFFF"/>
                <w:lang w:val="en-US"/>
              </w:rPr>
              <w:t>Tokens can be staked for 3–36 months to unlock higher membership tiers and early booking rights.</w:t>
            </w:r>
          </w:p>
          <w:p w14:paraId="12A4DD75" w14:textId="382337B9" w:rsidR="001073C5" w:rsidRPr="002E4D67" w:rsidRDefault="001073C5" w:rsidP="009E72DF">
            <w:pPr>
              <w:pStyle w:val="Textkrper"/>
              <w:jc w:val="left"/>
              <w:rPr>
                <w:rFonts w:cstheme="minorHAnsi"/>
                <w:color w:val="222222"/>
                <w:lang w:val="en-US"/>
              </w:rPr>
            </w:pPr>
            <w:r w:rsidRPr="002E4D67">
              <w:rPr>
                <w:rFonts w:cstheme="minorHAnsi"/>
                <w:color w:val="222222"/>
                <w:shd w:val="clear" w:color="auto" w:fill="FFFFFF"/>
                <w:lang w:val="en-US"/>
              </w:rPr>
              <w:t>Tokens are redeemed for services via the WYND Price Index (WPI).</w:t>
            </w:r>
            <w:r w:rsidRPr="002E4D67">
              <w:rPr>
                <w:rFonts w:cstheme="minorHAnsi"/>
                <w:color w:val="222222"/>
                <w:lang w:val="en-US"/>
              </w:rPr>
              <w:br/>
            </w:r>
            <w:r w:rsidRPr="002E4D67">
              <w:rPr>
                <w:rFonts w:cstheme="minorHAnsi"/>
                <w:color w:val="222222"/>
                <w:lang w:val="en-US"/>
              </w:rPr>
              <w:br/>
            </w:r>
            <w:r w:rsidRPr="002E4D67">
              <w:rPr>
                <w:rFonts w:cstheme="minorHAnsi"/>
                <w:b/>
                <w:bCs/>
                <w:color w:val="222222"/>
                <w:shd w:val="clear" w:color="auto" w:fill="FFFFFF"/>
                <w:lang w:val="en-US"/>
              </w:rPr>
              <w:t>4. Security and smart contracts</w:t>
            </w:r>
          </w:p>
          <w:p w14:paraId="0D6C9757" w14:textId="77777777" w:rsidR="001073C5" w:rsidRPr="002E4D67" w:rsidRDefault="001073C5" w:rsidP="009E72DF">
            <w:pPr>
              <w:pStyle w:val="Textkrper"/>
              <w:jc w:val="left"/>
              <w:rPr>
                <w:rFonts w:cstheme="minorHAnsi"/>
                <w:color w:val="222222"/>
                <w:lang w:val="en-US"/>
              </w:rPr>
            </w:pPr>
            <w:r w:rsidRPr="002E4D67">
              <w:rPr>
                <w:rFonts w:cstheme="minorHAnsi"/>
                <w:color w:val="222222"/>
                <w:shd w:val="clear" w:color="auto" w:fill="FFFFFF"/>
                <w:lang w:val="en-US"/>
              </w:rPr>
              <w:lastRenderedPageBreak/>
              <w:t>Smart contracts follow the ERC-20 standard and are independently audited.</w:t>
            </w:r>
          </w:p>
          <w:p w14:paraId="0AF48D50" w14:textId="77777777" w:rsidR="001073C5" w:rsidRPr="002E4D67" w:rsidRDefault="001073C5" w:rsidP="009E72DF">
            <w:pPr>
              <w:pStyle w:val="Textkrper"/>
              <w:jc w:val="left"/>
              <w:rPr>
                <w:rFonts w:cstheme="minorHAnsi"/>
                <w:color w:val="222222"/>
                <w:lang w:val="en-US"/>
              </w:rPr>
            </w:pPr>
            <w:r w:rsidRPr="002E4D67">
              <w:rPr>
                <w:rFonts w:cstheme="minorHAnsi"/>
                <w:color w:val="222222"/>
                <w:shd w:val="clear" w:color="auto" w:fill="FFFFFF"/>
                <w:lang w:val="en-US"/>
              </w:rPr>
              <w:t>Custody solutions and multi-signature wallets safeguard treasury and staking pools.</w:t>
            </w:r>
          </w:p>
          <w:p w14:paraId="6BEA78BD" w14:textId="77777777" w:rsidR="001073C5" w:rsidRPr="002E4D67" w:rsidRDefault="001073C5" w:rsidP="009E72DF">
            <w:pPr>
              <w:pStyle w:val="Textkrper"/>
              <w:jc w:val="left"/>
              <w:rPr>
                <w:rFonts w:cstheme="minorHAnsi"/>
                <w:color w:val="222222"/>
                <w:lang w:val="en-US"/>
              </w:rPr>
            </w:pPr>
            <w:r w:rsidRPr="002E4D67">
              <w:rPr>
                <w:rFonts w:cstheme="minorHAnsi"/>
                <w:color w:val="222222"/>
                <w:shd w:val="clear" w:color="auto" w:fill="FFFFFF"/>
                <w:lang w:val="en-US"/>
              </w:rPr>
              <w:t>WYND Capital GmbH remains responsible for governance and compliance.</w:t>
            </w:r>
            <w:r w:rsidRPr="002E4D67">
              <w:rPr>
                <w:rFonts w:cstheme="minorHAnsi"/>
                <w:color w:val="222222"/>
                <w:lang w:val="en-US"/>
              </w:rPr>
              <w:br/>
            </w:r>
            <w:r w:rsidRPr="002E4D67">
              <w:rPr>
                <w:rFonts w:cstheme="minorHAnsi"/>
                <w:color w:val="222222"/>
                <w:lang w:val="en-US"/>
              </w:rPr>
              <w:br/>
            </w:r>
            <w:r w:rsidRPr="002E4D67">
              <w:rPr>
                <w:rFonts w:cstheme="minorHAnsi"/>
                <w:b/>
                <w:bCs/>
                <w:color w:val="222222"/>
                <w:shd w:val="clear" w:color="auto" w:fill="FFFFFF"/>
                <w:lang w:val="en-US"/>
              </w:rPr>
              <w:t>5. Future development and adaptability</w:t>
            </w:r>
          </w:p>
          <w:p w14:paraId="38BC9900" w14:textId="77777777" w:rsidR="001073C5" w:rsidRPr="002E4D67" w:rsidRDefault="001073C5" w:rsidP="009E72DF">
            <w:pPr>
              <w:pStyle w:val="Textkrper"/>
              <w:jc w:val="left"/>
              <w:rPr>
                <w:rFonts w:cstheme="minorHAnsi"/>
                <w:color w:val="222222"/>
                <w:lang w:val="en-US"/>
              </w:rPr>
            </w:pPr>
            <w:r w:rsidRPr="002E4D67">
              <w:rPr>
                <w:rFonts w:cstheme="minorHAnsi"/>
                <w:color w:val="222222"/>
                <w:shd w:val="clear" w:color="auto" w:fill="FFFFFF"/>
                <w:lang w:val="en-US"/>
              </w:rPr>
              <w:t>Expansion of the ecosystem to include a global fleet of up to 8 WYND Yachts across key destinations (Mediterranean, Caribbean, Indian Ocean, Pacific).</w:t>
            </w:r>
          </w:p>
          <w:p w14:paraId="0F30D676" w14:textId="77777777" w:rsidR="001073C5" w:rsidRPr="002E4D67" w:rsidRDefault="001073C5" w:rsidP="009E72DF">
            <w:pPr>
              <w:pStyle w:val="Textkrper"/>
              <w:jc w:val="left"/>
              <w:rPr>
                <w:rFonts w:cstheme="minorHAnsi"/>
                <w:color w:val="222222"/>
                <w:lang w:val="en-US"/>
              </w:rPr>
            </w:pPr>
            <w:r w:rsidRPr="002E4D67">
              <w:rPr>
                <w:rFonts w:cstheme="minorHAnsi"/>
                <w:color w:val="222222"/>
                <w:shd w:val="clear" w:color="auto" w:fill="FFFFFF"/>
                <w:lang w:val="en-US"/>
              </w:rPr>
              <w:t>Integration of additional lifestyle and travel services (Concierge, Jet, Heli).</w:t>
            </w:r>
          </w:p>
          <w:p w14:paraId="1748AD49" w14:textId="02556F15" w:rsidR="001073C5" w:rsidRPr="002E4D67" w:rsidRDefault="001073C5" w:rsidP="009E72DF">
            <w:pPr>
              <w:pStyle w:val="Textkrper"/>
              <w:jc w:val="left"/>
              <w:rPr>
                <w:rFonts w:cstheme="minorHAnsi"/>
                <w:color w:val="222222"/>
                <w:shd w:val="clear" w:color="auto" w:fill="FFFFFF"/>
                <w:lang w:val="en-US"/>
              </w:rPr>
            </w:pPr>
            <w:r w:rsidRPr="002E4D67">
              <w:rPr>
                <w:rFonts w:cstheme="minorHAnsi"/>
                <w:color w:val="222222"/>
                <w:shd w:val="clear" w:color="auto" w:fill="FFFFFF"/>
                <w:lang w:val="en-US"/>
              </w:rPr>
              <w:t>Potential interoperability with partner ecosystems and further staking incentives.</w:t>
            </w:r>
            <w:r w:rsidRPr="002E4D67">
              <w:rPr>
                <w:rFonts w:cstheme="minorHAnsi"/>
                <w:color w:val="222222"/>
                <w:lang w:val="en-US"/>
              </w:rPr>
              <w:br/>
            </w:r>
            <w:r w:rsidRPr="002E4D67">
              <w:rPr>
                <w:rFonts w:cstheme="minorHAnsi"/>
                <w:color w:val="222222"/>
                <w:shd w:val="clear" w:color="auto" w:fill="FFFFFF"/>
                <w:lang w:val="en-US"/>
              </w:rPr>
              <w:t> </w:t>
            </w:r>
          </w:p>
        </w:tc>
      </w:tr>
      <w:tr w:rsidR="001073C5" w:rsidRPr="002E4D67" w14:paraId="5E1C1D87" w14:textId="77777777" w:rsidTr="00D64090">
        <w:tc>
          <w:tcPr>
            <w:tcW w:w="1985" w:type="dxa"/>
          </w:tcPr>
          <w:p w14:paraId="00DAF661" w14:textId="36D14EEE" w:rsidR="001073C5" w:rsidRPr="002E4D67" w:rsidRDefault="001073C5" w:rsidP="001073C5">
            <w:pPr>
              <w:pStyle w:val="berschrift1"/>
              <w:keepNext w:val="0"/>
              <w:keepLines w:val="0"/>
              <w:rPr>
                <w:lang w:val="en-US"/>
              </w:rPr>
            </w:pPr>
            <w:bookmarkStart w:id="324" w:name="_Toc212017962"/>
            <w:bookmarkStart w:id="325" w:name="_Toc213164207"/>
            <w:bookmarkStart w:id="326" w:name="_Toc213179191"/>
            <w:r w:rsidRPr="002E4D67">
              <w:rPr>
                <w:lang w:val="en-US"/>
              </w:rPr>
              <w:lastRenderedPageBreak/>
              <w:t>F.7 Commercial name or trading name</w:t>
            </w:r>
            <w:bookmarkEnd w:id="324"/>
            <w:bookmarkEnd w:id="325"/>
            <w:bookmarkEnd w:id="326"/>
          </w:p>
        </w:tc>
        <w:tc>
          <w:tcPr>
            <w:tcW w:w="6371" w:type="dxa"/>
          </w:tcPr>
          <w:p w14:paraId="6B2AA580" w14:textId="77777777" w:rsidR="001073C5" w:rsidRPr="002E4D67" w:rsidRDefault="001073C5" w:rsidP="001073C5">
            <w:pPr>
              <w:pStyle w:val="Textkrper"/>
              <w:rPr>
                <w:rFonts w:cstheme="minorHAnsi"/>
                <w:b/>
                <w:bCs/>
                <w:lang w:val="en-US"/>
              </w:rPr>
            </w:pPr>
            <w:bookmarkStart w:id="327" w:name="_cp_change_828"/>
            <w:r w:rsidRPr="002E4D67">
              <w:rPr>
                <w:rStyle w:val="Fett"/>
                <w:rFonts w:cstheme="minorHAnsi"/>
                <w:b w:val="0"/>
                <w:bCs w:val="0"/>
                <w:lang w:val="en-US"/>
              </w:rPr>
              <w:t>WYND Utility Token ($WYND)</w:t>
            </w:r>
            <w:bookmarkStart w:id="328" w:name="_cp_change_830"/>
            <w:bookmarkEnd w:id="327"/>
            <w:r w:rsidRPr="002E4D67">
              <w:rPr>
                <w:rStyle w:val="Fett"/>
                <w:rFonts w:cstheme="minorHAnsi"/>
                <w:b w:val="0"/>
                <w:bCs w:val="0"/>
                <w:lang w:val="en-US"/>
              </w:rPr>
              <w:t>)</w:t>
            </w:r>
            <w:bookmarkEnd w:id="328"/>
          </w:p>
        </w:tc>
      </w:tr>
      <w:tr w:rsidR="001073C5" w:rsidRPr="002E4D67" w14:paraId="324135EB" w14:textId="77777777" w:rsidTr="00D64090">
        <w:tc>
          <w:tcPr>
            <w:tcW w:w="1985" w:type="dxa"/>
          </w:tcPr>
          <w:p w14:paraId="2C5E0275" w14:textId="79F5CC73" w:rsidR="001073C5" w:rsidRPr="002E4D67" w:rsidRDefault="001073C5" w:rsidP="001073C5">
            <w:pPr>
              <w:pStyle w:val="berschrift1"/>
              <w:keepNext w:val="0"/>
              <w:keepLines w:val="0"/>
              <w:rPr>
                <w:lang w:val="en-US"/>
              </w:rPr>
            </w:pPr>
            <w:bookmarkStart w:id="329" w:name="_Toc212017964"/>
            <w:bookmarkStart w:id="330" w:name="_Toc213164208"/>
            <w:bookmarkStart w:id="331" w:name="_Toc213179192"/>
            <w:r w:rsidRPr="002E4D67">
              <w:rPr>
                <w:lang w:val="en-US"/>
              </w:rPr>
              <w:t>F.8 Website of the issuer</w:t>
            </w:r>
            <w:bookmarkEnd w:id="329"/>
            <w:bookmarkEnd w:id="330"/>
            <w:bookmarkEnd w:id="331"/>
          </w:p>
        </w:tc>
        <w:tc>
          <w:tcPr>
            <w:tcW w:w="6371" w:type="dxa"/>
          </w:tcPr>
          <w:p w14:paraId="2D91178D" w14:textId="77777777" w:rsidR="001073C5" w:rsidRPr="002E4D67" w:rsidRDefault="001073C5" w:rsidP="001073C5">
            <w:pPr>
              <w:pStyle w:val="Textkrper"/>
              <w:rPr>
                <w:rFonts w:cstheme="minorHAnsi"/>
                <w:lang w:val="en-US"/>
              </w:rPr>
            </w:pPr>
            <w:bookmarkStart w:id="332" w:name="_cp_change_831"/>
            <w:r w:rsidRPr="002E4D67">
              <w:rPr>
                <w:rFonts w:cstheme="minorHAnsi"/>
                <w:color w:val="0000FF"/>
                <w:u w:val="double" w:color="0000FF"/>
                <w:lang w:val="en-US"/>
              </w:rPr>
              <w:t>www.wynd.group</w:t>
            </w:r>
            <w:bookmarkEnd w:id="332"/>
          </w:p>
        </w:tc>
      </w:tr>
      <w:tr w:rsidR="001073C5" w:rsidRPr="002E4D67" w14:paraId="1FC31877" w14:textId="77777777" w:rsidTr="00D64090">
        <w:tc>
          <w:tcPr>
            <w:tcW w:w="1985" w:type="dxa"/>
          </w:tcPr>
          <w:p w14:paraId="419B7C58" w14:textId="3D7613E0" w:rsidR="001073C5" w:rsidRPr="002E4D67" w:rsidRDefault="001073C5" w:rsidP="001073C5">
            <w:pPr>
              <w:pStyle w:val="berschrift1"/>
              <w:keepNext w:val="0"/>
              <w:keepLines w:val="0"/>
              <w:rPr>
                <w:lang w:val="en-US"/>
              </w:rPr>
            </w:pPr>
            <w:bookmarkStart w:id="333" w:name="_Toc212017966"/>
            <w:bookmarkStart w:id="334" w:name="_Toc213164209"/>
            <w:bookmarkStart w:id="335" w:name="_Toc213179193"/>
            <w:r w:rsidRPr="002E4D67">
              <w:rPr>
                <w:lang w:val="en-US"/>
              </w:rPr>
              <w:t>F.9 Starting date of offer to the public or admission to trading</w:t>
            </w:r>
            <w:bookmarkEnd w:id="333"/>
            <w:bookmarkEnd w:id="334"/>
            <w:bookmarkEnd w:id="335"/>
          </w:p>
        </w:tc>
        <w:tc>
          <w:tcPr>
            <w:tcW w:w="6371" w:type="dxa"/>
          </w:tcPr>
          <w:p w14:paraId="04FE02EE" w14:textId="4E436177" w:rsidR="001073C5" w:rsidRPr="002E4D67" w:rsidRDefault="001073C5" w:rsidP="001073C5">
            <w:pPr>
              <w:pStyle w:val="Textkrper"/>
              <w:rPr>
                <w:rFonts w:cstheme="minorHAnsi"/>
                <w:lang w:val="en-US"/>
              </w:rPr>
            </w:pPr>
            <w:r w:rsidRPr="002E4D67">
              <w:rPr>
                <w:rFonts w:cstheme="minorHAnsi"/>
                <w:lang w:val="en-US"/>
              </w:rPr>
              <w:t>202</w:t>
            </w:r>
            <w:r w:rsidR="00627149">
              <w:rPr>
                <w:rFonts w:cstheme="minorHAnsi"/>
                <w:lang w:val="en-US"/>
              </w:rPr>
              <w:t>6</w:t>
            </w:r>
            <w:r w:rsidRPr="002E4D67">
              <w:rPr>
                <w:rFonts w:cstheme="minorHAnsi"/>
                <w:lang w:val="en-US"/>
              </w:rPr>
              <w:t>-</w:t>
            </w:r>
            <w:r w:rsidR="00627149">
              <w:rPr>
                <w:rFonts w:cstheme="minorHAnsi"/>
                <w:lang w:val="en-US"/>
              </w:rPr>
              <w:t>01</w:t>
            </w:r>
            <w:r w:rsidRPr="002E4D67">
              <w:rPr>
                <w:rFonts w:cstheme="minorHAnsi"/>
                <w:lang w:val="en-US"/>
              </w:rPr>
              <w:t>-</w:t>
            </w:r>
            <w:r w:rsidR="00627149">
              <w:rPr>
                <w:rFonts w:cstheme="minorHAnsi"/>
                <w:lang w:val="en-US"/>
              </w:rPr>
              <w:t>01</w:t>
            </w:r>
          </w:p>
        </w:tc>
      </w:tr>
      <w:tr w:rsidR="001073C5" w:rsidRPr="002E4D67" w14:paraId="31A24D38" w14:textId="77777777" w:rsidTr="00D64090">
        <w:tc>
          <w:tcPr>
            <w:tcW w:w="1985" w:type="dxa"/>
          </w:tcPr>
          <w:p w14:paraId="5EAB6D8B" w14:textId="3A81EF9A" w:rsidR="001073C5" w:rsidRPr="002E4D67" w:rsidRDefault="001073C5" w:rsidP="001073C5">
            <w:pPr>
              <w:pStyle w:val="berschrift1"/>
              <w:keepNext w:val="0"/>
              <w:keepLines w:val="0"/>
              <w:rPr>
                <w:lang w:val="en-US"/>
              </w:rPr>
            </w:pPr>
            <w:bookmarkStart w:id="336" w:name="_Toc212017968"/>
            <w:bookmarkStart w:id="337" w:name="_Toc213164210"/>
            <w:bookmarkStart w:id="338" w:name="_Toc213179194"/>
            <w:r w:rsidRPr="002E4D67">
              <w:rPr>
                <w:lang w:val="en-US"/>
              </w:rPr>
              <w:t>F.10 Publication date</w:t>
            </w:r>
            <w:bookmarkEnd w:id="336"/>
            <w:bookmarkEnd w:id="337"/>
            <w:bookmarkEnd w:id="338"/>
          </w:p>
        </w:tc>
        <w:tc>
          <w:tcPr>
            <w:tcW w:w="6371" w:type="dxa"/>
          </w:tcPr>
          <w:p w14:paraId="719664B4" w14:textId="3E6FB562" w:rsidR="001073C5" w:rsidRPr="002E4D67" w:rsidRDefault="001073C5" w:rsidP="001073C5">
            <w:pPr>
              <w:pStyle w:val="Textkrper"/>
              <w:rPr>
                <w:rFonts w:cstheme="minorHAnsi"/>
                <w:lang w:val="en-US"/>
              </w:rPr>
            </w:pPr>
            <w:r w:rsidRPr="002E4D67">
              <w:rPr>
                <w:rFonts w:cstheme="minorHAnsi"/>
                <w:lang w:val="en-US"/>
              </w:rPr>
              <w:t>202</w:t>
            </w:r>
            <w:r w:rsidR="00627149">
              <w:rPr>
                <w:rFonts w:cstheme="minorHAnsi"/>
                <w:lang w:val="en-US"/>
              </w:rPr>
              <w:t>6</w:t>
            </w:r>
            <w:r w:rsidRPr="002E4D67">
              <w:rPr>
                <w:rFonts w:cstheme="minorHAnsi"/>
                <w:lang w:val="en-US"/>
              </w:rPr>
              <w:t>-</w:t>
            </w:r>
            <w:r w:rsidR="00627149">
              <w:rPr>
                <w:rFonts w:cstheme="minorHAnsi"/>
                <w:lang w:val="en-US"/>
              </w:rPr>
              <w:t>01</w:t>
            </w:r>
            <w:r w:rsidRPr="002E4D67">
              <w:rPr>
                <w:rFonts w:cstheme="minorHAnsi"/>
                <w:lang w:val="en-US"/>
              </w:rPr>
              <w:t>-</w:t>
            </w:r>
            <w:r w:rsidR="00627149">
              <w:rPr>
                <w:rFonts w:cstheme="minorHAnsi"/>
                <w:lang w:val="en-US"/>
              </w:rPr>
              <w:t>01</w:t>
            </w:r>
          </w:p>
        </w:tc>
      </w:tr>
      <w:tr w:rsidR="001073C5" w:rsidRPr="002E4D67" w14:paraId="7AB24C65" w14:textId="77777777" w:rsidTr="00D64090">
        <w:tc>
          <w:tcPr>
            <w:tcW w:w="1985" w:type="dxa"/>
          </w:tcPr>
          <w:p w14:paraId="569A5F81" w14:textId="1C230C37" w:rsidR="001073C5" w:rsidRPr="002E4D67" w:rsidRDefault="001073C5" w:rsidP="001073C5">
            <w:pPr>
              <w:pStyle w:val="berschrift1"/>
              <w:keepNext w:val="0"/>
              <w:keepLines w:val="0"/>
              <w:rPr>
                <w:lang w:val="en-US"/>
              </w:rPr>
            </w:pPr>
            <w:bookmarkStart w:id="339" w:name="_Toc212017970"/>
            <w:bookmarkStart w:id="340" w:name="_Toc213164211"/>
            <w:bookmarkStart w:id="341" w:name="_Toc213179195"/>
            <w:r w:rsidRPr="002E4D67">
              <w:rPr>
                <w:lang w:val="en-US"/>
              </w:rPr>
              <w:t>F.11 Any other services provided by the issuer</w:t>
            </w:r>
            <w:bookmarkEnd w:id="339"/>
            <w:bookmarkEnd w:id="340"/>
            <w:bookmarkEnd w:id="341"/>
          </w:p>
        </w:tc>
        <w:tc>
          <w:tcPr>
            <w:tcW w:w="6371" w:type="dxa"/>
          </w:tcPr>
          <w:p w14:paraId="7B4EC255" w14:textId="77777777" w:rsidR="001073C5" w:rsidRPr="002E4D67" w:rsidRDefault="001073C5" w:rsidP="001073C5">
            <w:pPr>
              <w:pStyle w:val="Textkrper"/>
              <w:rPr>
                <w:rStyle w:val="Fett"/>
                <w:rFonts w:cstheme="minorHAnsi"/>
                <w:b w:val="0"/>
                <w:bCs w:val="0"/>
                <w:lang w:val="en-US"/>
              </w:rPr>
            </w:pPr>
            <w:bookmarkStart w:id="342" w:name="_cp_change_833"/>
            <w:r w:rsidRPr="002E4D67">
              <w:rPr>
                <w:rStyle w:val="Fett"/>
                <w:rFonts w:cstheme="minorHAnsi"/>
                <w:b w:val="0"/>
                <w:bCs w:val="0"/>
                <w:lang w:val="en-US"/>
              </w:rPr>
              <w:t>In addition to issuing the WYND Utility Token ($WYND), WYND Capital GmbH provides:</w:t>
            </w:r>
            <w:bookmarkStart w:id="343" w:name="_cp_change_832"/>
            <w:bookmarkEnd w:id="342"/>
          </w:p>
          <w:p w14:paraId="17823B5B" w14:textId="77777777" w:rsidR="001073C5" w:rsidRPr="002E4D67" w:rsidRDefault="001073C5" w:rsidP="001073C5">
            <w:pPr>
              <w:pStyle w:val="Textkrper"/>
              <w:rPr>
                <w:rStyle w:val="Fett"/>
                <w:rFonts w:cstheme="minorHAnsi"/>
                <w:b w:val="0"/>
                <w:bCs w:val="0"/>
                <w:lang w:val="en-US"/>
              </w:rPr>
            </w:pPr>
            <w:bookmarkStart w:id="344" w:name="_cp_change_834"/>
            <w:bookmarkStart w:id="345" w:name="_cp_change_836"/>
            <w:bookmarkEnd w:id="343"/>
            <w:r w:rsidRPr="002E4D67">
              <w:rPr>
                <w:rStyle w:val="Fett"/>
                <w:rFonts w:cstheme="minorHAnsi"/>
                <w:b w:val="0"/>
                <w:bCs w:val="0"/>
                <w:lang w:val="en-US"/>
              </w:rPr>
              <w:t>A</w:t>
            </w:r>
            <w:bookmarkEnd w:id="344"/>
            <w:r w:rsidRPr="002E4D67">
              <w:rPr>
                <w:rStyle w:val="Fett"/>
                <w:rFonts w:cstheme="minorHAnsi"/>
                <w:b w:val="0"/>
                <w:bCs w:val="0"/>
                <w:lang w:val="en-US"/>
              </w:rPr>
              <w:t>ccess to WYND Discovery Weeks – boutique yacht voyages in the Red Sea.</w:t>
            </w:r>
            <w:bookmarkStart w:id="346" w:name="_cp_change_835"/>
            <w:bookmarkEnd w:id="345"/>
          </w:p>
          <w:p w14:paraId="7A2BCAED" w14:textId="77777777" w:rsidR="001073C5" w:rsidRPr="002E4D67" w:rsidRDefault="001073C5" w:rsidP="001073C5">
            <w:pPr>
              <w:pStyle w:val="Textkrper"/>
              <w:rPr>
                <w:rStyle w:val="Fett"/>
                <w:rFonts w:cstheme="minorHAnsi"/>
                <w:b w:val="0"/>
                <w:bCs w:val="0"/>
                <w:lang w:val="en-US"/>
              </w:rPr>
            </w:pPr>
            <w:bookmarkStart w:id="347" w:name="_cp_change_837"/>
            <w:bookmarkStart w:id="348" w:name="_cp_change_839"/>
            <w:bookmarkEnd w:id="346"/>
            <w:r w:rsidRPr="002E4D67">
              <w:rPr>
                <w:rStyle w:val="Fett"/>
                <w:rFonts w:cstheme="minorHAnsi"/>
                <w:b w:val="0"/>
                <w:bCs w:val="0"/>
                <w:lang w:val="en-US"/>
              </w:rPr>
              <w:lastRenderedPageBreak/>
              <w:t>M</w:t>
            </w:r>
            <w:bookmarkEnd w:id="347"/>
            <w:r w:rsidRPr="002E4D67">
              <w:rPr>
                <w:rStyle w:val="Fett"/>
                <w:rFonts w:cstheme="minorHAnsi"/>
                <w:b w:val="0"/>
                <w:bCs w:val="0"/>
                <w:lang w:val="en-US"/>
              </w:rPr>
              <w:t>embership services – staking-based memberships with early booking rights and privileges.</w:t>
            </w:r>
            <w:bookmarkStart w:id="349" w:name="_cp_change_838"/>
            <w:bookmarkEnd w:id="348"/>
          </w:p>
          <w:p w14:paraId="7D14E120" w14:textId="77777777" w:rsidR="001073C5" w:rsidRPr="002E4D67" w:rsidRDefault="001073C5" w:rsidP="001073C5">
            <w:pPr>
              <w:pStyle w:val="Textkrper"/>
              <w:rPr>
                <w:rStyle w:val="Fett"/>
                <w:rFonts w:cstheme="minorHAnsi"/>
                <w:b w:val="0"/>
                <w:bCs w:val="0"/>
                <w:lang w:val="en-US"/>
              </w:rPr>
            </w:pPr>
            <w:bookmarkStart w:id="350" w:name="_cp_change_840"/>
            <w:bookmarkStart w:id="351" w:name="_cp_change_842"/>
            <w:bookmarkEnd w:id="349"/>
            <w:r w:rsidRPr="002E4D67">
              <w:rPr>
                <w:rStyle w:val="Fett"/>
                <w:rFonts w:cstheme="minorHAnsi"/>
                <w:b w:val="0"/>
                <w:bCs w:val="0"/>
                <w:lang w:val="en-US"/>
              </w:rPr>
              <w:t>L</w:t>
            </w:r>
            <w:bookmarkEnd w:id="350"/>
            <w:r w:rsidRPr="002E4D67">
              <w:rPr>
                <w:rStyle w:val="Fett"/>
                <w:rFonts w:cstheme="minorHAnsi"/>
                <w:b w:val="0"/>
                <w:bCs w:val="0"/>
                <w:lang w:val="en-US"/>
              </w:rPr>
              <w:t>ifestyle and concierge services – booking support, curated events, and experiences.</w:t>
            </w:r>
            <w:bookmarkStart w:id="352" w:name="_cp_change_841"/>
            <w:bookmarkEnd w:id="351"/>
          </w:p>
          <w:p w14:paraId="250D92B8" w14:textId="77777777" w:rsidR="001073C5" w:rsidRPr="002E4D67" w:rsidRDefault="001073C5" w:rsidP="001073C5">
            <w:pPr>
              <w:pStyle w:val="Textkrper"/>
              <w:rPr>
                <w:rStyle w:val="Fett"/>
                <w:rFonts w:cstheme="minorHAnsi"/>
                <w:b w:val="0"/>
                <w:bCs w:val="0"/>
                <w:lang w:val="en-US"/>
              </w:rPr>
            </w:pPr>
            <w:bookmarkStart w:id="353" w:name="_cp_change_843"/>
            <w:bookmarkStart w:id="354" w:name="_cp_change_845"/>
            <w:bookmarkEnd w:id="352"/>
            <w:r w:rsidRPr="002E4D67">
              <w:rPr>
                <w:rStyle w:val="Fett"/>
                <w:rFonts w:cstheme="minorHAnsi"/>
                <w:b w:val="0"/>
                <w:bCs w:val="0"/>
                <w:lang w:val="en-US"/>
              </w:rPr>
              <w:t>F</w:t>
            </w:r>
            <w:bookmarkEnd w:id="353"/>
            <w:r w:rsidRPr="002E4D67">
              <w:rPr>
                <w:rStyle w:val="Fett"/>
                <w:rFonts w:cstheme="minorHAnsi"/>
                <w:b w:val="0"/>
                <w:bCs w:val="0"/>
                <w:lang w:val="en-US"/>
              </w:rPr>
              <w:t>uture mobility services – WYND Jet &amp; Heli.</w:t>
            </w:r>
            <w:bookmarkStart w:id="355" w:name="_cp_change_844"/>
            <w:bookmarkEnd w:id="354"/>
          </w:p>
          <w:p w14:paraId="14C26DB2" w14:textId="77777777" w:rsidR="001073C5" w:rsidRPr="002E4D67" w:rsidRDefault="001073C5" w:rsidP="001073C5">
            <w:pPr>
              <w:pStyle w:val="Textkrper"/>
              <w:rPr>
                <w:rStyle w:val="Fett"/>
                <w:rFonts w:cstheme="minorHAnsi"/>
                <w:b w:val="0"/>
                <w:bCs w:val="0"/>
                <w:lang w:val="en-US"/>
              </w:rPr>
            </w:pPr>
            <w:bookmarkStart w:id="356" w:name="_cp_change_847"/>
            <w:bookmarkEnd w:id="355"/>
            <w:r w:rsidRPr="002E4D67">
              <w:rPr>
                <w:rStyle w:val="Fett"/>
                <w:rFonts w:cstheme="minorHAnsi"/>
                <w:b w:val="0"/>
                <w:bCs w:val="0"/>
                <w:lang w:val="en-US"/>
              </w:rPr>
              <w:t>The issuer does not provide financial, investment, or custodial services. All activities are limited to the operation and growth of the WYND ecosystem</w:t>
            </w:r>
            <w:r w:rsidRPr="002E4D67">
              <w:rPr>
                <w:rStyle w:val="Fett"/>
                <w:rFonts w:cstheme="minorHAnsi"/>
                <w:lang w:val="en-US"/>
              </w:rPr>
              <w:t>.</w:t>
            </w:r>
            <w:bookmarkStart w:id="357" w:name="_cp_change_846"/>
            <w:bookmarkEnd w:id="356"/>
          </w:p>
          <w:bookmarkEnd w:id="357"/>
          <w:p w14:paraId="01F6F8C5" w14:textId="77777777" w:rsidR="001073C5" w:rsidRPr="002E4D67" w:rsidRDefault="001073C5" w:rsidP="001073C5">
            <w:pPr>
              <w:pStyle w:val="Textkrper"/>
              <w:rPr>
                <w:rFonts w:cstheme="minorHAnsi"/>
                <w:lang w:val="en-US"/>
              </w:rPr>
            </w:pPr>
          </w:p>
        </w:tc>
      </w:tr>
      <w:tr w:rsidR="001073C5" w:rsidRPr="002E4D67" w14:paraId="4B272320" w14:textId="77777777" w:rsidTr="00D64090">
        <w:tc>
          <w:tcPr>
            <w:tcW w:w="1985" w:type="dxa"/>
          </w:tcPr>
          <w:p w14:paraId="4AD2BF5E" w14:textId="0EAC9703" w:rsidR="001073C5" w:rsidRPr="002E4D67" w:rsidRDefault="001073C5" w:rsidP="001073C5">
            <w:pPr>
              <w:pStyle w:val="berschrift1"/>
              <w:keepNext w:val="0"/>
              <w:keepLines w:val="0"/>
              <w:rPr>
                <w:lang w:val="en-US"/>
              </w:rPr>
            </w:pPr>
            <w:bookmarkStart w:id="358" w:name="_Toc212017972"/>
            <w:bookmarkStart w:id="359" w:name="_Toc213164212"/>
            <w:bookmarkStart w:id="360" w:name="_Toc213179196"/>
            <w:r w:rsidRPr="002E4D67">
              <w:rPr>
                <w:lang w:val="en-US"/>
              </w:rPr>
              <w:lastRenderedPageBreak/>
              <w:t>F.12 Language or languages of the crypto-asset white paper</w:t>
            </w:r>
            <w:bookmarkEnd w:id="358"/>
            <w:bookmarkEnd w:id="359"/>
            <w:bookmarkEnd w:id="360"/>
          </w:p>
        </w:tc>
        <w:tc>
          <w:tcPr>
            <w:tcW w:w="6371" w:type="dxa"/>
          </w:tcPr>
          <w:p w14:paraId="1204546A" w14:textId="6E8ACD4E" w:rsidR="001073C5" w:rsidRPr="002E4D67" w:rsidRDefault="001073C5" w:rsidP="001073C5">
            <w:pPr>
              <w:pStyle w:val="Textkrper"/>
              <w:rPr>
                <w:rFonts w:cstheme="minorHAnsi"/>
                <w:lang w:val="en-US"/>
              </w:rPr>
            </w:pPr>
            <w:r w:rsidRPr="002E4D67">
              <w:rPr>
                <w:rFonts w:cstheme="minorHAnsi"/>
                <w:lang w:val="en-US"/>
              </w:rPr>
              <w:t xml:space="preserve">EN (English) </w:t>
            </w:r>
          </w:p>
        </w:tc>
      </w:tr>
      <w:tr w:rsidR="001073C5" w:rsidRPr="002E4D67" w14:paraId="4DA7F5E3" w14:textId="77777777" w:rsidTr="00D64090">
        <w:tc>
          <w:tcPr>
            <w:tcW w:w="1985" w:type="dxa"/>
          </w:tcPr>
          <w:p w14:paraId="274FD643" w14:textId="46253118" w:rsidR="001073C5" w:rsidRPr="002E4D67" w:rsidRDefault="001073C5" w:rsidP="001073C5">
            <w:pPr>
              <w:pStyle w:val="berschrift1"/>
              <w:keepNext w:val="0"/>
              <w:keepLines w:val="0"/>
              <w:rPr>
                <w:lang w:val="en-US"/>
              </w:rPr>
            </w:pPr>
            <w:bookmarkStart w:id="361" w:name="_Toc212017974"/>
            <w:bookmarkStart w:id="362" w:name="_Toc213164213"/>
            <w:bookmarkStart w:id="363" w:name="_Toc213179197"/>
            <w:r w:rsidRPr="002E4D67">
              <w:rPr>
                <w:lang w:val="en-US"/>
              </w:rPr>
              <w:t>F.13 Digital token identifier code used to uniquely identify the</w:t>
            </w:r>
            <w:bookmarkStart w:id="364" w:name="_Toc212017975"/>
            <w:bookmarkStart w:id="365" w:name="_Toc213164214"/>
            <w:bookmarkEnd w:id="361"/>
            <w:bookmarkEnd w:id="362"/>
            <w:r w:rsidRPr="002E4D67">
              <w:rPr>
                <w:lang w:val="en-US"/>
              </w:rPr>
              <w:t xml:space="preserve"> crypto-asset or each of the several crypto assets to which the white paper relates, where available</w:t>
            </w:r>
            <w:bookmarkEnd w:id="363"/>
            <w:bookmarkEnd w:id="364"/>
            <w:bookmarkEnd w:id="365"/>
          </w:p>
        </w:tc>
        <w:tc>
          <w:tcPr>
            <w:tcW w:w="6371" w:type="dxa"/>
          </w:tcPr>
          <w:p w14:paraId="3CDB8C73" w14:textId="6A079372" w:rsidR="001073C5" w:rsidRPr="002E4D67" w:rsidRDefault="001073C5" w:rsidP="001073C5">
            <w:pPr>
              <w:pStyle w:val="Textkrper"/>
              <w:rPr>
                <w:rFonts w:cstheme="minorHAnsi"/>
                <w:lang w:val="en-US"/>
              </w:rPr>
            </w:pPr>
            <w:r w:rsidRPr="002E4D67">
              <w:rPr>
                <w:rFonts w:cstheme="minorHAnsi"/>
                <w:lang w:val="en-US"/>
              </w:rPr>
              <w:t xml:space="preserve"> Digital Token Identifier: Not available (DTI to be provided upon availability)</w:t>
            </w:r>
          </w:p>
        </w:tc>
      </w:tr>
      <w:tr w:rsidR="001073C5" w:rsidRPr="002E4D67" w14:paraId="653716B9" w14:textId="77777777" w:rsidTr="00D64090">
        <w:tc>
          <w:tcPr>
            <w:tcW w:w="1985" w:type="dxa"/>
          </w:tcPr>
          <w:p w14:paraId="34A27BB3" w14:textId="3E52EF60" w:rsidR="001073C5" w:rsidRPr="002E4D67" w:rsidRDefault="001073C5" w:rsidP="001073C5">
            <w:pPr>
              <w:pStyle w:val="berschrift1"/>
              <w:keepNext w:val="0"/>
              <w:keepLines w:val="0"/>
              <w:rPr>
                <w:lang w:val="en-US"/>
              </w:rPr>
            </w:pPr>
            <w:bookmarkStart w:id="366" w:name="_Toc212017977"/>
            <w:bookmarkStart w:id="367" w:name="_Toc213164215"/>
            <w:bookmarkStart w:id="368" w:name="_Toc213179198"/>
            <w:r w:rsidRPr="002E4D67">
              <w:rPr>
                <w:lang w:val="en-US"/>
              </w:rPr>
              <w:t>F.14 Functionally fungible group digital token identifier, where available</w:t>
            </w:r>
            <w:bookmarkEnd w:id="366"/>
            <w:bookmarkEnd w:id="367"/>
            <w:bookmarkEnd w:id="368"/>
          </w:p>
        </w:tc>
        <w:tc>
          <w:tcPr>
            <w:tcW w:w="6371" w:type="dxa"/>
          </w:tcPr>
          <w:p w14:paraId="58703F3E" w14:textId="6D8F556E" w:rsidR="001073C5" w:rsidRPr="002E4D67" w:rsidRDefault="001073C5" w:rsidP="001073C5">
            <w:pPr>
              <w:pStyle w:val="Textkrper"/>
              <w:rPr>
                <w:rFonts w:cstheme="minorHAnsi"/>
                <w:lang w:val="en-US"/>
              </w:rPr>
            </w:pPr>
            <w:r w:rsidRPr="002E4D67">
              <w:rPr>
                <w:rFonts w:cstheme="minorHAnsi"/>
                <w:lang w:val="en-US"/>
              </w:rPr>
              <w:t>Not applicable.</w:t>
            </w:r>
            <w:r w:rsidRPr="002E4D67">
              <w:rPr>
                <w:rFonts w:cstheme="minorHAnsi"/>
                <w:lang w:val="en-US"/>
              </w:rPr>
              <w:br/>
            </w:r>
          </w:p>
        </w:tc>
      </w:tr>
      <w:tr w:rsidR="001073C5" w:rsidRPr="002E4D67" w14:paraId="07243346" w14:textId="77777777" w:rsidTr="00D64090">
        <w:tc>
          <w:tcPr>
            <w:tcW w:w="1985" w:type="dxa"/>
          </w:tcPr>
          <w:p w14:paraId="0C3EC97C" w14:textId="5C5A41C4" w:rsidR="001073C5" w:rsidRPr="002E4D67" w:rsidRDefault="001073C5" w:rsidP="001073C5">
            <w:pPr>
              <w:pStyle w:val="berschrift1"/>
              <w:keepNext w:val="0"/>
              <w:keepLines w:val="0"/>
              <w:rPr>
                <w:lang w:val="en-US"/>
              </w:rPr>
            </w:pPr>
            <w:bookmarkStart w:id="369" w:name="_Toc212017979"/>
            <w:bookmarkStart w:id="370" w:name="_Toc213164216"/>
            <w:bookmarkStart w:id="371" w:name="_Toc213179199"/>
            <w:r w:rsidRPr="002E4D67">
              <w:rPr>
                <w:lang w:val="en-US"/>
              </w:rPr>
              <w:t>F.15 Voluntary data flag</w:t>
            </w:r>
            <w:bookmarkEnd w:id="369"/>
            <w:bookmarkEnd w:id="370"/>
            <w:bookmarkEnd w:id="371"/>
          </w:p>
        </w:tc>
        <w:tc>
          <w:tcPr>
            <w:tcW w:w="6371" w:type="dxa"/>
          </w:tcPr>
          <w:p w14:paraId="5FC441FB" w14:textId="2ECD4CC1" w:rsidR="001073C5" w:rsidRPr="002E4D67" w:rsidRDefault="001073C5" w:rsidP="001073C5">
            <w:pPr>
              <w:pStyle w:val="Textkrper"/>
              <w:rPr>
                <w:rFonts w:cstheme="minorHAnsi"/>
                <w:lang w:val="en-US"/>
              </w:rPr>
            </w:pPr>
            <w:r w:rsidRPr="002E4D67">
              <w:rPr>
                <w:rStyle w:val="Fett"/>
                <w:rFonts w:cstheme="minorHAnsi"/>
                <w:b w:val="0"/>
                <w:bCs w:val="0"/>
                <w:lang w:val="en-US"/>
              </w:rPr>
              <w:t>False.</w:t>
            </w:r>
            <w:r w:rsidRPr="002E4D67">
              <w:rPr>
                <w:rFonts w:cstheme="minorHAnsi"/>
                <w:lang w:val="en-US"/>
              </w:rPr>
              <w:br/>
            </w:r>
          </w:p>
        </w:tc>
      </w:tr>
      <w:tr w:rsidR="001073C5" w:rsidRPr="002E4D67" w14:paraId="5895E277" w14:textId="77777777" w:rsidTr="00D64090">
        <w:tc>
          <w:tcPr>
            <w:tcW w:w="1985" w:type="dxa"/>
          </w:tcPr>
          <w:p w14:paraId="431D2FFE" w14:textId="3DAD6CD2" w:rsidR="001073C5" w:rsidRPr="002E4D67" w:rsidRDefault="001073C5" w:rsidP="001073C5">
            <w:pPr>
              <w:pStyle w:val="berschrift1"/>
              <w:keepNext w:val="0"/>
              <w:keepLines w:val="0"/>
              <w:rPr>
                <w:lang w:val="en-US"/>
              </w:rPr>
            </w:pPr>
            <w:bookmarkStart w:id="372" w:name="_Toc212017981"/>
            <w:bookmarkStart w:id="373" w:name="_Toc213164217"/>
            <w:bookmarkStart w:id="374" w:name="_Toc213179200"/>
            <w:r w:rsidRPr="002E4D67">
              <w:rPr>
                <w:lang w:val="en-US"/>
              </w:rPr>
              <w:t>F.16 Personal data flag</w:t>
            </w:r>
            <w:bookmarkEnd w:id="372"/>
            <w:bookmarkEnd w:id="373"/>
            <w:bookmarkEnd w:id="374"/>
          </w:p>
        </w:tc>
        <w:tc>
          <w:tcPr>
            <w:tcW w:w="6371" w:type="dxa"/>
          </w:tcPr>
          <w:p w14:paraId="51C6F445" w14:textId="0EF6D061" w:rsidR="001073C5" w:rsidRPr="002E4D67" w:rsidRDefault="001073C5" w:rsidP="001073C5">
            <w:pPr>
              <w:pStyle w:val="Textkrper"/>
              <w:rPr>
                <w:rFonts w:cstheme="minorHAnsi"/>
                <w:lang w:val="en-US"/>
              </w:rPr>
            </w:pPr>
            <w:r w:rsidRPr="002E4D67">
              <w:rPr>
                <w:rStyle w:val="Fett"/>
                <w:rFonts w:cstheme="minorHAnsi"/>
                <w:b w:val="0"/>
                <w:bCs w:val="0"/>
                <w:lang w:val="en-US"/>
              </w:rPr>
              <w:t>False.</w:t>
            </w:r>
            <w:r w:rsidRPr="002E4D67">
              <w:rPr>
                <w:rFonts w:cstheme="minorHAnsi"/>
                <w:lang w:val="en-US"/>
              </w:rPr>
              <w:br/>
            </w:r>
          </w:p>
        </w:tc>
      </w:tr>
      <w:tr w:rsidR="001073C5" w:rsidRPr="002E4D67" w14:paraId="3C08BDE5" w14:textId="77777777" w:rsidTr="00D64090">
        <w:tc>
          <w:tcPr>
            <w:tcW w:w="1985" w:type="dxa"/>
          </w:tcPr>
          <w:p w14:paraId="5A88DD3D" w14:textId="0EBF0816" w:rsidR="001073C5" w:rsidRPr="002E4D67" w:rsidRDefault="001073C5" w:rsidP="001073C5">
            <w:pPr>
              <w:pStyle w:val="berschrift1"/>
              <w:keepNext w:val="0"/>
              <w:keepLines w:val="0"/>
              <w:rPr>
                <w:lang w:val="en-US"/>
              </w:rPr>
            </w:pPr>
            <w:bookmarkStart w:id="375" w:name="_Toc212017983"/>
            <w:bookmarkStart w:id="376" w:name="_Toc213164218"/>
            <w:bookmarkStart w:id="377" w:name="_Toc213179201"/>
            <w:r w:rsidRPr="002E4D67">
              <w:rPr>
                <w:lang w:val="en-US"/>
              </w:rPr>
              <w:t>F.17 LEI eligibility</w:t>
            </w:r>
            <w:bookmarkEnd w:id="375"/>
            <w:bookmarkEnd w:id="376"/>
            <w:bookmarkEnd w:id="377"/>
          </w:p>
        </w:tc>
        <w:tc>
          <w:tcPr>
            <w:tcW w:w="6371" w:type="dxa"/>
          </w:tcPr>
          <w:p w14:paraId="4F9C58D5" w14:textId="5EBFDD0A" w:rsidR="001073C5" w:rsidRPr="002E4D67" w:rsidRDefault="001073C5" w:rsidP="001073C5">
            <w:pPr>
              <w:pStyle w:val="Textkrper"/>
              <w:rPr>
                <w:rFonts w:cstheme="minorHAnsi"/>
                <w:lang w:val="en-US"/>
              </w:rPr>
            </w:pPr>
            <w:r w:rsidRPr="002E4D67">
              <w:rPr>
                <w:rFonts w:cstheme="minorHAnsi"/>
                <w:lang w:val="en-US"/>
              </w:rPr>
              <w:t>True.</w:t>
            </w:r>
          </w:p>
        </w:tc>
      </w:tr>
      <w:tr w:rsidR="001073C5" w:rsidRPr="002E4D67" w14:paraId="663FE3BC" w14:textId="77777777" w:rsidTr="00D64090">
        <w:tc>
          <w:tcPr>
            <w:tcW w:w="1985" w:type="dxa"/>
          </w:tcPr>
          <w:p w14:paraId="11A52EDD" w14:textId="59D4FD97" w:rsidR="001073C5" w:rsidRPr="002E4D67" w:rsidRDefault="001073C5" w:rsidP="001073C5">
            <w:pPr>
              <w:pStyle w:val="berschrift1"/>
              <w:keepNext w:val="0"/>
              <w:keepLines w:val="0"/>
              <w:rPr>
                <w:lang w:val="en-US"/>
              </w:rPr>
            </w:pPr>
            <w:bookmarkStart w:id="378" w:name="_Toc212017985"/>
            <w:bookmarkStart w:id="379" w:name="_Toc213164219"/>
            <w:bookmarkStart w:id="380" w:name="_Toc213179202"/>
            <w:r w:rsidRPr="002E4D67">
              <w:rPr>
                <w:lang w:val="en-US"/>
              </w:rPr>
              <w:lastRenderedPageBreak/>
              <w:t>F.18 Home member state</w:t>
            </w:r>
            <w:bookmarkEnd w:id="378"/>
            <w:bookmarkEnd w:id="379"/>
            <w:bookmarkEnd w:id="380"/>
          </w:p>
        </w:tc>
        <w:tc>
          <w:tcPr>
            <w:tcW w:w="6371" w:type="dxa"/>
          </w:tcPr>
          <w:p w14:paraId="09037F86" w14:textId="77777777" w:rsidR="001073C5" w:rsidRPr="002E4D67" w:rsidRDefault="001073C5" w:rsidP="001073C5">
            <w:pPr>
              <w:pStyle w:val="Textkrper"/>
              <w:rPr>
                <w:rFonts w:cstheme="minorHAnsi"/>
                <w:lang w:val="en-US"/>
              </w:rPr>
            </w:pPr>
            <w:r w:rsidRPr="002E4D67">
              <w:rPr>
                <w:rFonts w:cstheme="minorHAnsi"/>
                <w:lang w:val="en-US"/>
              </w:rPr>
              <w:t>DE (Germany)</w:t>
            </w:r>
          </w:p>
        </w:tc>
      </w:tr>
      <w:tr w:rsidR="001073C5" w:rsidRPr="002E4D67" w14:paraId="11E931F3" w14:textId="77777777" w:rsidTr="00D64090">
        <w:tc>
          <w:tcPr>
            <w:tcW w:w="1985" w:type="dxa"/>
          </w:tcPr>
          <w:p w14:paraId="643DC41A" w14:textId="6214BBF1" w:rsidR="001073C5" w:rsidRPr="002E4D67" w:rsidRDefault="001073C5" w:rsidP="001073C5">
            <w:pPr>
              <w:pStyle w:val="berschrift1"/>
              <w:keepNext w:val="0"/>
              <w:keepLines w:val="0"/>
              <w:rPr>
                <w:lang w:val="en-US"/>
              </w:rPr>
            </w:pPr>
            <w:bookmarkStart w:id="381" w:name="_Toc212017987"/>
            <w:bookmarkStart w:id="382" w:name="_Toc213164220"/>
            <w:bookmarkStart w:id="383" w:name="_Toc213179203"/>
            <w:r w:rsidRPr="002E4D67">
              <w:rPr>
                <w:lang w:val="en-US"/>
              </w:rPr>
              <w:t>F.19 Host Member States</w:t>
            </w:r>
            <w:bookmarkEnd w:id="381"/>
            <w:bookmarkEnd w:id="382"/>
            <w:bookmarkEnd w:id="383"/>
          </w:p>
        </w:tc>
        <w:tc>
          <w:tcPr>
            <w:tcW w:w="6371" w:type="dxa"/>
          </w:tcPr>
          <w:p w14:paraId="30990F4F" w14:textId="77777777" w:rsidR="001073C5" w:rsidRPr="002E4D67" w:rsidRDefault="001073C5" w:rsidP="001073C5">
            <w:pPr>
              <w:pStyle w:val="Textkrper"/>
              <w:rPr>
                <w:rFonts w:cstheme="minorHAnsi"/>
                <w:lang w:val="en-US"/>
              </w:rPr>
            </w:pPr>
            <w:bookmarkStart w:id="384" w:name="_cp_change_853"/>
            <w:r w:rsidRPr="002E4D67">
              <w:rPr>
                <w:rFonts w:cstheme="minorHAnsi"/>
                <w:lang w:val="en-US"/>
              </w:rPr>
              <w:t xml:space="preserve">The </w:t>
            </w:r>
            <w:r w:rsidRPr="002E4D67">
              <w:rPr>
                <w:rStyle w:val="Fett"/>
                <w:rFonts w:cstheme="minorHAnsi"/>
                <w:lang w:val="en-US"/>
              </w:rPr>
              <w:t>public offering of the $WYND Utility Token</w:t>
            </w:r>
            <w:r w:rsidRPr="002E4D67">
              <w:rPr>
                <w:rFonts w:cstheme="minorHAnsi"/>
                <w:lang w:val="en-US"/>
              </w:rPr>
              <w:t xml:space="preserve"> will be conducted by </w:t>
            </w:r>
            <w:r w:rsidRPr="002E4D67">
              <w:rPr>
                <w:rStyle w:val="Fett"/>
                <w:rFonts w:cstheme="minorHAnsi"/>
                <w:lang w:val="en-US"/>
              </w:rPr>
              <w:t>WYND Capital GmbH</w:t>
            </w:r>
            <w:r w:rsidRPr="002E4D67">
              <w:rPr>
                <w:rFonts w:cstheme="minorHAnsi"/>
                <w:lang w:val="en-US"/>
              </w:rPr>
              <w:t xml:space="preserve"> across the </w:t>
            </w:r>
            <w:r w:rsidRPr="002E4D67">
              <w:rPr>
                <w:rStyle w:val="Fett"/>
                <w:rFonts w:cstheme="minorHAnsi"/>
                <w:lang w:val="en-US"/>
              </w:rPr>
              <w:t>European Union</w:t>
            </w:r>
            <w:r w:rsidRPr="002E4D67">
              <w:rPr>
                <w:rFonts w:cstheme="minorHAnsi"/>
                <w:lang w:val="en-US"/>
              </w:rPr>
              <w:t xml:space="preserve"> under the MiCAR passporting framework.</w:t>
            </w:r>
          </w:p>
          <w:p w14:paraId="7AED18D2" w14:textId="77777777" w:rsidR="001073C5" w:rsidRPr="002E4D67" w:rsidRDefault="001073C5" w:rsidP="001073C5">
            <w:pPr>
              <w:pStyle w:val="Textkrper"/>
              <w:rPr>
                <w:rFonts w:cstheme="minorHAnsi"/>
                <w:lang w:val="en-US"/>
              </w:rPr>
            </w:pPr>
            <w:r w:rsidRPr="002E4D67">
              <w:rPr>
                <w:rFonts w:cstheme="minorHAnsi"/>
                <w:lang w:val="en-US"/>
              </w:rPr>
              <w:t xml:space="preserve">The </w:t>
            </w:r>
            <w:r w:rsidRPr="002E4D67">
              <w:rPr>
                <w:rStyle w:val="Fett"/>
                <w:rFonts w:cstheme="minorHAnsi"/>
                <w:lang w:val="en-US"/>
              </w:rPr>
              <w:t>home Member State</w:t>
            </w:r>
            <w:r w:rsidRPr="002E4D67">
              <w:rPr>
                <w:rFonts w:cstheme="minorHAnsi"/>
                <w:lang w:val="en-US"/>
              </w:rPr>
              <w:t xml:space="preserve"> of the issuer is </w:t>
            </w:r>
            <w:r w:rsidRPr="002E4D67">
              <w:rPr>
                <w:rStyle w:val="Fett"/>
                <w:rFonts w:cstheme="minorHAnsi"/>
                <w:lang w:val="en-US"/>
              </w:rPr>
              <w:t>Germany</w:t>
            </w:r>
            <w:r w:rsidRPr="002E4D67">
              <w:rPr>
                <w:rFonts w:cstheme="minorHAnsi"/>
                <w:lang w:val="en-US"/>
              </w:rPr>
              <w:t>, where WYND Capital GmbH is incorporated and supervised for MiCAR purposes.</w:t>
            </w:r>
          </w:p>
          <w:p w14:paraId="74DE294C" w14:textId="77777777" w:rsidR="001073C5" w:rsidRPr="002E4D67" w:rsidRDefault="001073C5" w:rsidP="001073C5">
            <w:pPr>
              <w:pStyle w:val="Textkrper"/>
              <w:rPr>
                <w:rFonts w:cstheme="minorHAnsi"/>
                <w:lang w:val="en-US"/>
              </w:rPr>
            </w:pPr>
            <w:r w:rsidRPr="002E4D67">
              <w:rPr>
                <w:rFonts w:cstheme="minorHAnsi"/>
                <w:lang w:val="en-US"/>
              </w:rPr>
              <w:t xml:space="preserve">Upon publication and notification of this Whitepaper in accordance with </w:t>
            </w:r>
            <w:r w:rsidRPr="002E4D67">
              <w:rPr>
                <w:rStyle w:val="Fett"/>
                <w:rFonts w:cstheme="minorHAnsi"/>
                <w:lang w:val="en-US"/>
              </w:rPr>
              <w:t>Article 8(6) MiCAR</w:t>
            </w:r>
            <w:r w:rsidRPr="002E4D67">
              <w:rPr>
                <w:rFonts w:cstheme="minorHAnsi"/>
                <w:lang w:val="en-US"/>
              </w:rPr>
              <w:t xml:space="preserve">, the offering will be made available to eligible purchasers in the following </w:t>
            </w:r>
            <w:r w:rsidRPr="002E4D67">
              <w:rPr>
                <w:rStyle w:val="Fett"/>
                <w:rFonts w:cstheme="minorHAnsi"/>
                <w:lang w:val="en-US"/>
              </w:rPr>
              <w:t>host Member States</w:t>
            </w:r>
            <w:r w:rsidRPr="002E4D67">
              <w:rPr>
                <w:rFonts w:cstheme="minorHAnsi"/>
                <w:lang w:val="en-US"/>
              </w:rPr>
              <w:t>:</w:t>
            </w:r>
          </w:p>
          <w:p w14:paraId="6581B68E" w14:textId="77777777" w:rsidR="002A3E9D" w:rsidRPr="002A3E9D" w:rsidRDefault="002A3E9D" w:rsidP="002A3E9D">
            <w:pPr>
              <w:pStyle w:val="Default"/>
              <w:rPr>
                <w:rFonts w:asciiTheme="minorHAnsi" w:hAnsiTheme="minorHAnsi" w:cstheme="minorHAnsi"/>
                <w:sz w:val="22"/>
                <w:szCs w:val="22"/>
              </w:rPr>
            </w:pPr>
            <w:r w:rsidRPr="002A3E9D">
              <w:rPr>
                <w:rFonts w:asciiTheme="minorHAnsi" w:hAnsiTheme="minorHAnsi" w:cstheme="minorHAnsi"/>
                <w:sz w:val="22"/>
                <w:szCs w:val="22"/>
              </w:rPr>
              <w:t xml:space="preserve">Belgium </w:t>
            </w:r>
          </w:p>
          <w:p w14:paraId="3C4541AC" w14:textId="77777777" w:rsidR="002A3E9D" w:rsidRPr="002A3E9D" w:rsidRDefault="002A3E9D" w:rsidP="002A3E9D">
            <w:pPr>
              <w:pStyle w:val="Default"/>
              <w:rPr>
                <w:rFonts w:asciiTheme="minorHAnsi" w:hAnsiTheme="minorHAnsi" w:cstheme="minorHAnsi"/>
                <w:sz w:val="22"/>
                <w:szCs w:val="22"/>
              </w:rPr>
            </w:pPr>
            <w:r w:rsidRPr="002A3E9D">
              <w:rPr>
                <w:rFonts w:asciiTheme="minorHAnsi" w:hAnsiTheme="minorHAnsi" w:cstheme="minorHAnsi"/>
                <w:sz w:val="22"/>
                <w:szCs w:val="22"/>
              </w:rPr>
              <w:t xml:space="preserve">Bulgaria </w:t>
            </w:r>
          </w:p>
          <w:p w14:paraId="47F54664" w14:textId="77777777" w:rsidR="002A3E9D" w:rsidRPr="002A3E9D" w:rsidRDefault="002A3E9D" w:rsidP="002A3E9D">
            <w:pPr>
              <w:pStyle w:val="Default"/>
              <w:rPr>
                <w:rFonts w:asciiTheme="minorHAnsi" w:hAnsiTheme="minorHAnsi" w:cstheme="minorHAnsi"/>
                <w:sz w:val="22"/>
                <w:szCs w:val="22"/>
              </w:rPr>
            </w:pPr>
            <w:r w:rsidRPr="002A3E9D">
              <w:rPr>
                <w:rFonts w:asciiTheme="minorHAnsi" w:hAnsiTheme="minorHAnsi" w:cstheme="minorHAnsi"/>
                <w:sz w:val="22"/>
                <w:szCs w:val="22"/>
              </w:rPr>
              <w:t xml:space="preserve">Croatia </w:t>
            </w:r>
          </w:p>
          <w:p w14:paraId="279A3B2D" w14:textId="77777777" w:rsidR="002A3E9D" w:rsidRPr="002A3E9D" w:rsidRDefault="002A3E9D" w:rsidP="002A3E9D">
            <w:pPr>
              <w:pStyle w:val="Default"/>
              <w:rPr>
                <w:rFonts w:asciiTheme="minorHAnsi" w:hAnsiTheme="minorHAnsi" w:cstheme="minorHAnsi"/>
                <w:sz w:val="22"/>
                <w:szCs w:val="22"/>
              </w:rPr>
            </w:pPr>
            <w:r w:rsidRPr="002A3E9D">
              <w:rPr>
                <w:rFonts w:asciiTheme="minorHAnsi" w:hAnsiTheme="minorHAnsi" w:cstheme="minorHAnsi"/>
                <w:sz w:val="22"/>
                <w:szCs w:val="22"/>
              </w:rPr>
              <w:t xml:space="preserve">Cyprus </w:t>
            </w:r>
          </w:p>
          <w:p w14:paraId="62DD06CF" w14:textId="77777777" w:rsidR="002A3E9D" w:rsidRPr="002A3E9D" w:rsidRDefault="002A3E9D" w:rsidP="002A3E9D">
            <w:pPr>
              <w:pStyle w:val="Default"/>
              <w:rPr>
                <w:rFonts w:asciiTheme="minorHAnsi" w:hAnsiTheme="minorHAnsi" w:cstheme="minorHAnsi"/>
                <w:sz w:val="22"/>
                <w:szCs w:val="22"/>
              </w:rPr>
            </w:pPr>
            <w:r w:rsidRPr="002A3E9D">
              <w:rPr>
                <w:rFonts w:asciiTheme="minorHAnsi" w:hAnsiTheme="minorHAnsi" w:cstheme="minorHAnsi"/>
                <w:sz w:val="22"/>
                <w:szCs w:val="22"/>
              </w:rPr>
              <w:t xml:space="preserve">Czech Republic </w:t>
            </w:r>
          </w:p>
          <w:p w14:paraId="545B2EC1" w14:textId="77777777" w:rsidR="002A3E9D" w:rsidRPr="002A3E9D" w:rsidRDefault="002A3E9D" w:rsidP="002A3E9D">
            <w:pPr>
              <w:pStyle w:val="Default"/>
              <w:rPr>
                <w:rFonts w:asciiTheme="minorHAnsi" w:hAnsiTheme="minorHAnsi" w:cstheme="minorHAnsi"/>
                <w:sz w:val="22"/>
                <w:szCs w:val="22"/>
              </w:rPr>
            </w:pPr>
            <w:r w:rsidRPr="002A3E9D">
              <w:rPr>
                <w:rFonts w:asciiTheme="minorHAnsi" w:hAnsiTheme="minorHAnsi" w:cstheme="minorHAnsi"/>
                <w:sz w:val="22"/>
                <w:szCs w:val="22"/>
              </w:rPr>
              <w:t xml:space="preserve">Denmark </w:t>
            </w:r>
          </w:p>
          <w:p w14:paraId="491D901C" w14:textId="77777777" w:rsidR="002A3E9D" w:rsidRPr="002A3E9D" w:rsidRDefault="002A3E9D" w:rsidP="002A3E9D">
            <w:pPr>
              <w:pStyle w:val="Default"/>
              <w:rPr>
                <w:rFonts w:asciiTheme="minorHAnsi" w:hAnsiTheme="minorHAnsi" w:cstheme="minorHAnsi"/>
                <w:sz w:val="22"/>
                <w:szCs w:val="22"/>
              </w:rPr>
            </w:pPr>
            <w:r w:rsidRPr="002A3E9D">
              <w:rPr>
                <w:rFonts w:asciiTheme="minorHAnsi" w:hAnsiTheme="minorHAnsi" w:cstheme="minorHAnsi"/>
                <w:sz w:val="22"/>
                <w:szCs w:val="22"/>
              </w:rPr>
              <w:t xml:space="preserve">Estonia </w:t>
            </w:r>
          </w:p>
          <w:p w14:paraId="0E2E4E87" w14:textId="4CF146A6" w:rsidR="002A3E9D" w:rsidRPr="002A3E9D" w:rsidRDefault="002A3E9D" w:rsidP="002A3E9D">
            <w:pPr>
              <w:pStyle w:val="Default"/>
              <w:rPr>
                <w:rFonts w:asciiTheme="minorHAnsi" w:hAnsiTheme="minorHAnsi" w:cstheme="minorHAnsi"/>
                <w:sz w:val="22"/>
                <w:szCs w:val="22"/>
              </w:rPr>
            </w:pPr>
            <w:r w:rsidRPr="002A3E9D">
              <w:rPr>
                <w:rFonts w:asciiTheme="minorHAnsi" w:hAnsiTheme="minorHAnsi" w:cstheme="minorHAnsi"/>
                <w:sz w:val="22"/>
                <w:szCs w:val="22"/>
              </w:rPr>
              <w:t>Finland</w:t>
            </w:r>
          </w:p>
          <w:p w14:paraId="5DE38DE9" w14:textId="77777777" w:rsidR="002A3E9D" w:rsidRPr="002A3E9D" w:rsidRDefault="002A3E9D" w:rsidP="002A3E9D">
            <w:pPr>
              <w:pStyle w:val="Default"/>
              <w:pageBreakBefore/>
              <w:rPr>
                <w:rFonts w:asciiTheme="minorHAnsi" w:hAnsiTheme="minorHAnsi" w:cstheme="minorHAnsi"/>
                <w:color w:val="auto"/>
                <w:sz w:val="22"/>
                <w:szCs w:val="22"/>
              </w:rPr>
            </w:pPr>
            <w:r w:rsidRPr="002A3E9D">
              <w:rPr>
                <w:rFonts w:asciiTheme="minorHAnsi" w:hAnsiTheme="minorHAnsi" w:cstheme="minorHAnsi"/>
                <w:color w:val="auto"/>
                <w:sz w:val="22"/>
                <w:szCs w:val="22"/>
              </w:rPr>
              <w:t xml:space="preserve">France </w:t>
            </w:r>
          </w:p>
          <w:p w14:paraId="7DC7FB28" w14:textId="77777777" w:rsidR="002A3E9D" w:rsidRPr="002A3E9D" w:rsidRDefault="002A3E9D" w:rsidP="002A3E9D">
            <w:pPr>
              <w:pStyle w:val="Default"/>
              <w:rPr>
                <w:rFonts w:asciiTheme="minorHAnsi" w:hAnsiTheme="minorHAnsi" w:cstheme="minorHAnsi"/>
                <w:color w:val="auto"/>
                <w:sz w:val="22"/>
                <w:szCs w:val="22"/>
              </w:rPr>
            </w:pPr>
            <w:r w:rsidRPr="002A3E9D">
              <w:rPr>
                <w:rFonts w:asciiTheme="minorHAnsi" w:hAnsiTheme="minorHAnsi" w:cstheme="minorHAnsi"/>
                <w:color w:val="auto"/>
                <w:sz w:val="22"/>
                <w:szCs w:val="22"/>
              </w:rPr>
              <w:t xml:space="preserve">Germany </w:t>
            </w:r>
          </w:p>
          <w:p w14:paraId="7BFB33B9" w14:textId="77777777" w:rsidR="002A3E9D" w:rsidRPr="002A3E9D" w:rsidRDefault="002A3E9D" w:rsidP="002A3E9D">
            <w:pPr>
              <w:pStyle w:val="Default"/>
              <w:rPr>
                <w:rFonts w:asciiTheme="minorHAnsi" w:hAnsiTheme="minorHAnsi" w:cstheme="minorHAnsi"/>
                <w:color w:val="auto"/>
                <w:sz w:val="22"/>
                <w:szCs w:val="22"/>
              </w:rPr>
            </w:pPr>
            <w:r w:rsidRPr="002A3E9D">
              <w:rPr>
                <w:rFonts w:asciiTheme="minorHAnsi" w:hAnsiTheme="minorHAnsi" w:cstheme="minorHAnsi"/>
                <w:color w:val="auto"/>
                <w:sz w:val="22"/>
                <w:szCs w:val="22"/>
              </w:rPr>
              <w:t xml:space="preserve">Greece </w:t>
            </w:r>
          </w:p>
          <w:p w14:paraId="6EFC4CB2" w14:textId="77777777" w:rsidR="002A3E9D" w:rsidRPr="002A3E9D" w:rsidRDefault="002A3E9D" w:rsidP="002A3E9D">
            <w:pPr>
              <w:pStyle w:val="Default"/>
              <w:rPr>
                <w:rFonts w:asciiTheme="minorHAnsi" w:hAnsiTheme="minorHAnsi" w:cstheme="minorHAnsi"/>
                <w:color w:val="auto"/>
                <w:sz w:val="22"/>
                <w:szCs w:val="22"/>
              </w:rPr>
            </w:pPr>
            <w:r w:rsidRPr="002A3E9D">
              <w:rPr>
                <w:rFonts w:asciiTheme="minorHAnsi" w:hAnsiTheme="minorHAnsi" w:cstheme="minorHAnsi"/>
                <w:color w:val="auto"/>
                <w:sz w:val="22"/>
                <w:szCs w:val="22"/>
              </w:rPr>
              <w:t xml:space="preserve">Hungary </w:t>
            </w:r>
          </w:p>
          <w:p w14:paraId="601738AE" w14:textId="77777777" w:rsidR="002A3E9D" w:rsidRPr="002A3E9D" w:rsidRDefault="002A3E9D" w:rsidP="002A3E9D">
            <w:pPr>
              <w:pStyle w:val="Default"/>
              <w:rPr>
                <w:rFonts w:asciiTheme="minorHAnsi" w:hAnsiTheme="minorHAnsi" w:cstheme="minorHAnsi"/>
                <w:color w:val="auto"/>
                <w:sz w:val="22"/>
                <w:szCs w:val="22"/>
              </w:rPr>
            </w:pPr>
            <w:r w:rsidRPr="002A3E9D">
              <w:rPr>
                <w:rFonts w:asciiTheme="minorHAnsi" w:hAnsiTheme="minorHAnsi" w:cstheme="minorHAnsi"/>
                <w:color w:val="auto"/>
                <w:sz w:val="22"/>
                <w:szCs w:val="22"/>
              </w:rPr>
              <w:t xml:space="preserve">Ireland </w:t>
            </w:r>
          </w:p>
          <w:p w14:paraId="75E65A54" w14:textId="77777777" w:rsidR="002A3E9D" w:rsidRPr="002A3E9D" w:rsidRDefault="002A3E9D" w:rsidP="002A3E9D">
            <w:pPr>
              <w:pStyle w:val="Default"/>
              <w:rPr>
                <w:rFonts w:asciiTheme="minorHAnsi" w:hAnsiTheme="minorHAnsi" w:cstheme="minorHAnsi"/>
                <w:color w:val="auto"/>
                <w:sz w:val="22"/>
                <w:szCs w:val="22"/>
              </w:rPr>
            </w:pPr>
            <w:r w:rsidRPr="002A3E9D">
              <w:rPr>
                <w:rFonts w:asciiTheme="minorHAnsi" w:hAnsiTheme="minorHAnsi" w:cstheme="minorHAnsi"/>
                <w:color w:val="auto"/>
                <w:sz w:val="22"/>
                <w:szCs w:val="22"/>
              </w:rPr>
              <w:t xml:space="preserve">Italy </w:t>
            </w:r>
          </w:p>
          <w:p w14:paraId="212430AB" w14:textId="77777777" w:rsidR="002A3E9D" w:rsidRPr="002A3E9D" w:rsidRDefault="002A3E9D" w:rsidP="002A3E9D">
            <w:pPr>
              <w:pStyle w:val="Default"/>
              <w:rPr>
                <w:rFonts w:asciiTheme="minorHAnsi" w:hAnsiTheme="minorHAnsi" w:cstheme="minorHAnsi"/>
                <w:color w:val="auto"/>
                <w:sz w:val="22"/>
                <w:szCs w:val="22"/>
              </w:rPr>
            </w:pPr>
            <w:r w:rsidRPr="002A3E9D">
              <w:rPr>
                <w:rFonts w:asciiTheme="minorHAnsi" w:hAnsiTheme="minorHAnsi" w:cstheme="minorHAnsi"/>
                <w:color w:val="auto"/>
                <w:sz w:val="22"/>
                <w:szCs w:val="22"/>
              </w:rPr>
              <w:t xml:space="preserve">Latvia </w:t>
            </w:r>
          </w:p>
          <w:p w14:paraId="046BD608" w14:textId="77777777" w:rsidR="002A3E9D" w:rsidRPr="002A3E9D" w:rsidRDefault="002A3E9D" w:rsidP="002A3E9D">
            <w:pPr>
              <w:pStyle w:val="Default"/>
              <w:rPr>
                <w:rFonts w:asciiTheme="minorHAnsi" w:hAnsiTheme="minorHAnsi" w:cstheme="minorHAnsi"/>
                <w:color w:val="auto"/>
                <w:sz w:val="22"/>
                <w:szCs w:val="22"/>
              </w:rPr>
            </w:pPr>
            <w:r w:rsidRPr="002A3E9D">
              <w:rPr>
                <w:rFonts w:asciiTheme="minorHAnsi" w:hAnsiTheme="minorHAnsi" w:cstheme="minorHAnsi"/>
                <w:color w:val="auto"/>
                <w:sz w:val="22"/>
                <w:szCs w:val="22"/>
              </w:rPr>
              <w:t xml:space="preserve">Lithuania </w:t>
            </w:r>
          </w:p>
          <w:p w14:paraId="37FEB671" w14:textId="77777777" w:rsidR="002A3E9D" w:rsidRPr="002A3E9D" w:rsidRDefault="002A3E9D" w:rsidP="002A3E9D">
            <w:pPr>
              <w:pStyle w:val="Default"/>
              <w:rPr>
                <w:rFonts w:asciiTheme="minorHAnsi" w:hAnsiTheme="minorHAnsi" w:cstheme="minorHAnsi"/>
                <w:color w:val="auto"/>
                <w:sz w:val="22"/>
                <w:szCs w:val="22"/>
              </w:rPr>
            </w:pPr>
            <w:r w:rsidRPr="002A3E9D">
              <w:rPr>
                <w:rFonts w:asciiTheme="minorHAnsi" w:hAnsiTheme="minorHAnsi" w:cstheme="minorHAnsi"/>
                <w:color w:val="auto"/>
                <w:sz w:val="22"/>
                <w:szCs w:val="22"/>
              </w:rPr>
              <w:t xml:space="preserve">Luxembourg </w:t>
            </w:r>
          </w:p>
          <w:p w14:paraId="41A9D61B" w14:textId="77777777" w:rsidR="002A3E9D" w:rsidRPr="002A3E9D" w:rsidRDefault="002A3E9D" w:rsidP="002A3E9D">
            <w:pPr>
              <w:pStyle w:val="Default"/>
              <w:rPr>
                <w:rFonts w:asciiTheme="minorHAnsi" w:hAnsiTheme="minorHAnsi" w:cstheme="minorHAnsi"/>
                <w:color w:val="auto"/>
                <w:sz w:val="22"/>
                <w:szCs w:val="22"/>
              </w:rPr>
            </w:pPr>
            <w:r w:rsidRPr="002A3E9D">
              <w:rPr>
                <w:rFonts w:asciiTheme="minorHAnsi" w:hAnsiTheme="minorHAnsi" w:cstheme="minorHAnsi"/>
                <w:color w:val="auto"/>
                <w:sz w:val="22"/>
                <w:szCs w:val="22"/>
              </w:rPr>
              <w:t xml:space="preserve">Malta </w:t>
            </w:r>
          </w:p>
          <w:p w14:paraId="2B87A778" w14:textId="77777777" w:rsidR="002A3E9D" w:rsidRPr="002A3E9D" w:rsidRDefault="002A3E9D" w:rsidP="002A3E9D">
            <w:pPr>
              <w:pStyle w:val="Default"/>
              <w:rPr>
                <w:rFonts w:asciiTheme="minorHAnsi" w:hAnsiTheme="minorHAnsi" w:cstheme="minorHAnsi"/>
                <w:color w:val="auto"/>
                <w:sz w:val="22"/>
                <w:szCs w:val="22"/>
              </w:rPr>
            </w:pPr>
            <w:r w:rsidRPr="002A3E9D">
              <w:rPr>
                <w:rFonts w:asciiTheme="minorHAnsi" w:hAnsiTheme="minorHAnsi" w:cstheme="minorHAnsi"/>
                <w:color w:val="auto"/>
                <w:sz w:val="22"/>
                <w:szCs w:val="22"/>
              </w:rPr>
              <w:t xml:space="preserve">Netherlands </w:t>
            </w:r>
          </w:p>
          <w:p w14:paraId="0E308262" w14:textId="77777777" w:rsidR="002A3E9D" w:rsidRPr="002A3E9D" w:rsidRDefault="002A3E9D" w:rsidP="002A3E9D">
            <w:pPr>
              <w:pStyle w:val="Default"/>
              <w:rPr>
                <w:rFonts w:asciiTheme="minorHAnsi" w:hAnsiTheme="minorHAnsi" w:cstheme="minorHAnsi"/>
                <w:color w:val="auto"/>
                <w:sz w:val="22"/>
                <w:szCs w:val="22"/>
              </w:rPr>
            </w:pPr>
            <w:r w:rsidRPr="002A3E9D">
              <w:rPr>
                <w:rFonts w:asciiTheme="minorHAnsi" w:hAnsiTheme="minorHAnsi" w:cstheme="minorHAnsi"/>
                <w:color w:val="auto"/>
                <w:sz w:val="22"/>
                <w:szCs w:val="22"/>
              </w:rPr>
              <w:t xml:space="preserve">Poland </w:t>
            </w:r>
          </w:p>
          <w:p w14:paraId="7606B0A1" w14:textId="77777777" w:rsidR="002A3E9D" w:rsidRPr="002A3E9D" w:rsidRDefault="002A3E9D" w:rsidP="002A3E9D">
            <w:pPr>
              <w:pStyle w:val="Default"/>
              <w:rPr>
                <w:rFonts w:asciiTheme="minorHAnsi" w:hAnsiTheme="minorHAnsi" w:cstheme="minorHAnsi"/>
                <w:color w:val="auto"/>
                <w:sz w:val="22"/>
                <w:szCs w:val="22"/>
              </w:rPr>
            </w:pPr>
            <w:r w:rsidRPr="002A3E9D">
              <w:rPr>
                <w:rFonts w:asciiTheme="minorHAnsi" w:hAnsiTheme="minorHAnsi" w:cstheme="minorHAnsi"/>
                <w:color w:val="auto"/>
                <w:sz w:val="22"/>
                <w:szCs w:val="22"/>
              </w:rPr>
              <w:t xml:space="preserve">Portugal </w:t>
            </w:r>
          </w:p>
          <w:p w14:paraId="79B3182E" w14:textId="77777777" w:rsidR="002A3E9D" w:rsidRPr="002A3E9D" w:rsidRDefault="002A3E9D" w:rsidP="002A3E9D">
            <w:pPr>
              <w:pStyle w:val="Default"/>
              <w:rPr>
                <w:rFonts w:asciiTheme="minorHAnsi" w:hAnsiTheme="minorHAnsi" w:cstheme="minorHAnsi"/>
                <w:color w:val="auto"/>
                <w:sz w:val="22"/>
                <w:szCs w:val="22"/>
              </w:rPr>
            </w:pPr>
            <w:r w:rsidRPr="002A3E9D">
              <w:rPr>
                <w:rFonts w:asciiTheme="minorHAnsi" w:hAnsiTheme="minorHAnsi" w:cstheme="minorHAnsi"/>
                <w:color w:val="auto"/>
                <w:sz w:val="22"/>
                <w:szCs w:val="22"/>
              </w:rPr>
              <w:t xml:space="preserve">Romania </w:t>
            </w:r>
          </w:p>
          <w:p w14:paraId="66B39B1D" w14:textId="77777777" w:rsidR="002A3E9D" w:rsidRPr="002A3E9D" w:rsidRDefault="002A3E9D" w:rsidP="002A3E9D">
            <w:pPr>
              <w:pStyle w:val="Default"/>
              <w:rPr>
                <w:rFonts w:asciiTheme="minorHAnsi" w:hAnsiTheme="minorHAnsi" w:cstheme="minorHAnsi"/>
                <w:color w:val="auto"/>
                <w:sz w:val="22"/>
                <w:szCs w:val="22"/>
              </w:rPr>
            </w:pPr>
            <w:r w:rsidRPr="002A3E9D">
              <w:rPr>
                <w:rFonts w:asciiTheme="minorHAnsi" w:hAnsiTheme="minorHAnsi" w:cstheme="minorHAnsi"/>
                <w:color w:val="auto"/>
                <w:sz w:val="22"/>
                <w:szCs w:val="22"/>
              </w:rPr>
              <w:t xml:space="preserve">Slovakia </w:t>
            </w:r>
          </w:p>
          <w:p w14:paraId="135291DD" w14:textId="77777777" w:rsidR="002A3E9D" w:rsidRPr="002A3E9D" w:rsidRDefault="002A3E9D" w:rsidP="002A3E9D">
            <w:pPr>
              <w:pStyle w:val="Default"/>
              <w:rPr>
                <w:rFonts w:asciiTheme="minorHAnsi" w:hAnsiTheme="minorHAnsi" w:cstheme="minorHAnsi"/>
                <w:color w:val="auto"/>
                <w:sz w:val="22"/>
                <w:szCs w:val="22"/>
              </w:rPr>
            </w:pPr>
            <w:r w:rsidRPr="002A3E9D">
              <w:rPr>
                <w:rFonts w:asciiTheme="minorHAnsi" w:hAnsiTheme="minorHAnsi" w:cstheme="minorHAnsi"/>
                <w:color w:val="auto"/>
                <w:sz w:val="22"/>
                <w:szCs w:val="22"/>
              </w:rPr>
              <w:t xml:space="preserve">Slovenia </w:t>
            </w:r>
          </w:p>
          <w:p w14:paraId="48AECC49" w14:textId="77777777" w:rsidR="002A3E9D" w:rsidRDefault="002A3E9D" w:rsidP="002A3E9D">
            <w:pPr>
              <w:pStyle w:val="Default"/>
              <w:rPr>
                <w:rFonts w:asciiTheme="minorHAnsi" w:hAnsiTheme="minorHAnsi" w:cstheme="minorHAnsi"/>
                <w:color w:val="auto"/>
                <w:sz w:val="22"/>
                <w:szCs w:val="22"/>
              </w:rPr>
            </w:pPr>
            <w:r w:rsidRPr="002A3E9D">
              <w:rPr>
                <w:rFonts w:asciiTheme="minorHAnsi" w:hAnsiTheme="minorHAnsi" w:cstheme="minorHAnsi"/>
                <w:color w:val="auto"/>
                <w:sz w:val="22"/>
                <w:szCs w:val="22"/>
              </w:rPr>
              <w:t xml:space="preserve">Spain </w:t>
            </w:r>
          </w:p>
          <w:p w14:paraId="09E32FF0" w14:textId="65C16E3B" w:rsidR="001073C5" w:rsidRPr="002A3E9D" w:rsidRDefault="002A3E9D" w:rsidP="002A3E9D">
            <w:pPr>
              <w:pStyle w:val="Default"/>
              <w:rPr>
                <w:rFonts w:asciiTheme="minorHAnsi" w:hAnsiTheme="minorHAnsi" w:cstheme="minorHAnsi"/>
                <w:color w:val="auto"/>
                <w:sz w:val="22"/>
                <w:szCs w:val="22"/>
              </w:rPr>
            </w:pPr>
            <w:r w:rsidRPr="002A3E9D">
              <w:rPr>
                <w:rFonts w:asciiTheme="minorHAnsi" w:hAnsiTheme="minorHAnsi" w:cstheme="minorHAnsi"/>
                <w:color w:val="auto"/>
                <w:sz w:val="22"/>
                <w:szCs w:val="22"/>
              </w:rPr>
              <w:t>Sweden</w:t>
            </w:r>
          </w:p>
          <w:bookmarkEnd w:id="384"/>
          <w:p w14:paraId="033E8E64" w14:textId="77777777" w:rsidR="001073C5" w:rsidRPr="002E4D67" w:rsidRDefault="001073C5" w:rsidP="001073C5">
            <w:pPr>
              <w:pStyle w:val="Textkrper"/>
              <w:rPr>
                <w:rFonts w:cstheme="minorHAnsi"/>
                <w:lang w:val="en-US"/>
              </w:rPr>
            </w:pPr>
          </w:p>
        </w:tc>
      </w:tr>
      <w:tr w:rsidR="001073C5" w:rsidRPr="002E4D67" w14:paraId="669D588F" w14:textId="77777777" w:rsidTr="00CD61E3">
        <w:tc>
          <w:tcPr>
            <w:tcW w:w="8356" w:type="dxa"/>
            <w:gridSpan w:val="2"/>
          </w:tcPr>
          <w:p w14:paraId="0C5CFE88" w14:textId="7AE3EF08" w:rsidR="001073C5" w:rsidRPr="002E4D67" w:rsidRDefault="001073C5" w:rsidP="001073C5">
            <w:pPr>
              <w:pStyle w:val="berschrift1"/>
              <w:rPr>
                <w:lang w:val="en-US"/>
              </w:rPr>
            </w:pPr>
            <w:bookmarkStart w:id="385" w:name="_Toc213179204"/>
            <w:r w:rsidRPr="002E4D67">
              <w:rPr>
                <w:lang w:val="en-US"/>
              </w:rPr>
              <w:t>Part G - Information on the rights and obligations attached to the crypto-assets</w:t>
            </w:r>
            <w:bookmarkEnd w:id="385"/>
          </w:p>
        </w:tc>
      </w:tr>
      <w:tr w:rsidR="001073C5" w:rsidRPr="002E4D67" w14:paraId="5D0FA7A0" w14:textId="77777777" w:rsidTr="00D64090">
        <w:tc>
          <w:tcPr>
            <w:tcW w:w="1985" w:type="dxa"/>
          </w:tcPr>
          <w:p w14:paraId="6D8E3986" w14:textId="04EA63AB" w:rsidR="001073C5" w:rsidRPr="002E4D67" w:rsidRDefault="001073C5" w:rsidP="001073C5">
            <w:pPr>
              <w:pStyle w:val="berschrift1"/>
              <w:keepNext w:val="0"/>
              <w:keepLines w:val="0"/>
              <w:rPr>
                <w:lang w:val="en-US"/>
              </w:rPr>
            </w:pPr>
            <w:bookmarkStart w:id="386" w:name="_Toc212017990"/>
            <w:bookmarkStart w:id="387" w:name="_Toc213164221"/>
            <w:bookmarkStart w:id="388" w:name="_Toc213179205"/>
            <w:r w:rsidRPr="002E4D67">
              <w:rPr>
                <w:lang w:val="en-US"/>
              </w:rPr>
              <w:t>G.1 Purchaser Rights and Obligations</w:t>
            </w:r>
            <w:bookmarkEnd w:id="386"/>
            <w:bookmarkEnd w:id="387"/>
            <w:bookmarkEnd w:id="388"/>
          </w:p>
        </w:tc>
        <w:tc>
          <w:tcPr>
            <w:tcW w:w="6371" w:type="dxa"/>
          </w:tcPr>
          <w:p w14:paraId="0441C8C3" w14:textId="77777777" w:rsidR="001073C5" w:rsidRPr="002E4D67" w:rsidRDefault="001073C5" w:rsidP="007F606C">
            <w:pPr>
              <w:pStyle w:val="Textkrper"/>
              <w:jc w:val="left"/>
              <w:rPr>
                <w:rFonts w:cstheme="minorHAnsi"/>
                <w:lang w:val="en-US"/>
              </w:rPr>
            </w:pPr>
            <w:bookmarkStart w:id="389" w:name="_cp_change_857"/>
            <w:r w:rsidRPr="002E4D67">
              <w:rPr>
                <w:rFonts w:cstheme="minorHAnsi"/>
                <w:lang w:val="en-US"/>
              </w:rPr>
              <w:t xml:space="preserve">The </w:t>
            </w:r>
            <w:r w:rsidRPr="002E4D67">
              <w:rPr>
                <w:rStyle w:val="Fett"/>
                <w:rFonts w:cstheme="minorHAnsi"/>
                <w:lang w:val="en-US"/>
              </w:rPr>
              <w:t>$WYND Utility Token</w:t>
            </w:r>
            <w:r w:rsidRPr="002E4D67">
              <w:rPr>
                <w:rFonts w:cstheme="minorHAnsi"/>
                <w:lang w:val="en-US"/>
              </w:rPr>
              <w:t xml:space="preserve"> grants its holder </w:t>
            </w:r>
            <w:r w:rsidRPr="002E4D67">
              <w:rPr>
                <w:rStyle w:val="Fett"/>
                <w:rFonts w:cstheme="minorHAnsi"/>
                <w:lang w:val="en-US"/>
              </w:rPr>
              <w:t>non-financial usage rights</w:t>
            </w:r>
            <w:r w:rsidRPr="002E4D67">
              <w:rPr>
                <w:rFonts w:cstheme="minorHAnsi"/>
                <w:lang w:val="en-US"/>
              </w:rPr>
              <w:t xml:space="preserve"> within the WYND ecosystem, as described in this Whitepaper and in the official </w:t>
            </w:r>
            <w:r w:rsidRPr="002E4D67">
              <w:rPr>
                <w:rStyle w:val="Fett"/>
                <w:rFonts w:cstheme="minorHAnsi"/>
                <w:lang w:val="en-US"/>
              </w:rPr>
              <w:t>WYND Terms of Use</w:t>
            </w:r>
            <w:r w:rsidRPr="002E4D67">
              <w:rPr>
                <w:rFonts w:cstheme="minorHAnsi"/>
                <w:lang w:val="en-US"/>
              </w:rPr>
              <w:t>.</w:t>
            </w:r>
          </w:p>
          <w:p w14:paraId="02AFB1BB" w14:textId="77777777" w:rsidR="00420EE5" w:rsidRDefault="001073C5" w:rsidP="007F606C">
            <w:pPr>
              <w:pStyle w:val="Textkrper"/>
              <w:jc w:val="left"/>
              <w:rPr>
                <w:rFonts w:cstheme="minorHAnsi"/>
                <w:lang w:val="en-US"/>
              </w:rPr>
            </w:pPr>
            <w:r w:rsidRPr="002E4D67">
              <w:rPr>
                <w:rFonts w:cstheme="minorHAnsi"/>
                <w:lang w:val="en-US"/>
              </w:rPr>
              <w:lastRenderedPageBreak/>
              <w:t xml:space="preserve">The token </w:t>
            </w:r>
            <w:r w:rsidRPr="002E4D67">
              <w:rPr>
                <w:rStyle w:val="Fett"/>
                <w:rFonts w:cstheme="minorHAnsi"/>
                <w:lang w:val="en-US"/>
              </w:rPr>
              <w:t>does not represent</w:t>
            </w:r>
            <w:r w:rsidRPr="002E4D67">
              <w:rPr>
                <w:rFonts w:cstheme="minorHAnsi"/>
                <w:lang w:val="en-US"/>
              </w:rPr>
              <w:t>:</w:t>
            </w:r>
          </w:p>
          <w:p w14:paraId="6AD4077E" w14:textId="77777777" w:rsidR="00420EE5" w:rsidRDefault="00420EE5" w:rsidP="007F606C">
            <w:pPr>
              <w:pStyle w:val="Textkrper"/>
              <w:jc w:val="left"/>
              <w:rPr>
                <w:rFonts w:cstheme="minorHAnsi"/>
                <w:lang w:val="en-US"/>
              </w:rPr>
            </w:pPr>
            <w:r>
              <w:rPr>
                <w:rFonts w:cstheme="minorHAnsi"/>
                <w:lang w:val="en-US"/>
              </w:rPr>
              <w:t xml:space="preserve">- </w:t>
            </w:r>
            <w:r w:rsidR="001073C5" w:rsidRPr="002E4D67">
              <w:rPr>
                <w:rFonts w:cstheme="minorHAnsi"/>
                <w:lang w:val="en-US"/>
              </w:rPr>
              <w:t>any ownership interest,</w:t>
            </w:r>
          </w:p>
          <w:p w14:paraId="1CFC09FA" w14:textId="52789416" w:rsidR="001073C5" w:rsidRPr="002E4D67" w:rsidRDefault="00420EE5" w:rsidP="007F606C">
            <w:pPr>
              <w:pStyle w:val="Textkrper"/>
              <w:jc w:val="left"/>
              <w:rPr>
                <w:rFonts w:cstheme="minorHAnsi"/>
                <w:lang w:val="en-US"/>
              </w:rPr>
            </w:pPr>
            <w:r>
              <w:rPr>
                <w:rFonts w:cstheme="minorHAnsi"/>
                <w:lang w:val="en-US"/>
              </w:rPr>
              <w:t xml:space="preserve">- </w:t>
            </w:r>
            <w:r w:rsidR="001073C5" w:rsidRPr="002E4D67">
              <w:rPr>
                <w:rFonts w:cstheme="minorHAnsi"/>
                <w:lang w:val="en-US"/>
              </w:rPr>
              <w:t>any profit or dividend entitlement,</w:t>
            </w:r>
          </w:p>
          <w:p w14:paraId="0C176FAD" w14:textId="07D17E0C" w:rsidR="001073C5" w:rsidRPr="002E4D67" w:rsidRDefault="00420EE5" w:rsidP="007F606C">
            <w:pPr>
              <w:pStyle w:val="Textkrper"/>
              <w:jc w:val="left"/>
              <w:rPr>
                <w:rFonts w:cstheme="minorHAnsi"/>
                <w:lang w:val="en-US"/>
              </w:rPr>
            </w:pPr>
            <w:r>
              <w:rPr>
                <w:rFonts w:cstheme="minorHAnsi"/>
                <w:lang w:val="en-US"/>
              </w:rPr>
              <w:t xml:space="preserve">- </w:t>
            </w:r>
            <w:r w:rsidR="001073C5" w:rsidRPr="002E4D67">
              <w:rPr>
                <w:rFonts w:cstheme="minorHAnsi"/>
                <w:lang w:val="en-US"/>
              </w:rPr>
              <w:t>any repayment or redemption claim,</w:t>
            </w:r>
          </w:p>
          <w:p w14:paraId="7A23E7A2" w14:textId="63D8CAEA" w:rsidR="001073C5" w:rsidRPr="002E4D67" w:rsidRDefault="00420EE5" w:rsidP="007F606C">
            <w:pPr>
              <w:pStyle w:val="Textkrper"/>
              <w:jc w:val="left"/>
              <w:rPr>
                <w:rFonts w:cstheme="minorHAnsi"/>
                <w:lang w:val="en-US"/>
              </w:rPr>
            </w:pPr>
            <w:r>
              <w:rPr>
                <w:rFonts w:cstheme="minorHAnsi"/>
                <w:lang w:val="en-US"/>
              </w:rPr>
              <w:t xml:space="preserve">- </w:t>
            </w:r>
            <w:r w:rsidR="001073C5" w:rsidRPr="002E4D67">
              <w:rPr>
                <w:rFonts w:cstheme="minorHAnsi"/>
                <w:lang w:val="en-US"/>
              </w:rPr>
              <w:t>any voting or governance rights.</w:t>
            </w:r>
          </w:p>
          <w:p w14:paraId="4E7A1D00" w14:textId="77777777" w:rsidR="001073C5" w:rsidRPr="002E4D67" w:rsidRDefault="001073C5" w:rsidP="007F606C">
            <w:pPr>
              <w:pStyle w:val="Textkrper"/>
              <w:jc w:val="left"/>
              <w:rPr>
                <w:rFonts w:cstheme="minorHAnsi"/>
                <w:lang w:val="en-US"/>
              </w:rPr>
            </w:pPr>
            <w:r w:rsidRPr="002E4D67">
              <w:rPr>
                <w:rFonts w:cstheme="minorHAnsi"/>
                <w:lang w:val="en-US"/>
              </w:rPr>
              <w:t xml:space="preserve">Instead, token holders receive </w:t>
            </w:r>
            <w:r w:rsidRPr="002E4D67">
              <w:rPr>
                <w:rStyle w:val="Fett"/>
                <w:rFonts w:cstheme="minorHAnsi"/>
                <w:lang w:val="en-US"/>
              </w:rPr>
              <w:t>digital access and service rights</w:t>
            </w:r>
            <w:r w:rsidRPr="002E4D67">
              <w:rPr>
                <w:rFonts w:cstheme="minorHAnsi"/>
                <w:lang w:val="en-US"/>
              </w:rPr>
              <w:t xml:space="preserve"> that can be exercised through the WYND Platform and its connected services.</w:t>
            </w:r>
          </w:p>
          <w:p w14:paraId="3DB75940" w14:textId="6D494193" w:rsidR="001073C5" w:rsidRPr="002E4D67" w:rsidRDefault="001073C5" w:rsidP="007F606C">
            <w:pPr>
              <w:pStyle w:val="Textkrper"/>
              <w:jc w:val="left"/>
              <w:rPr>
                <w:rFonts w:cstheme="minorHAnsi"/>
                <w:bCs/>
                <w:lang w:val="en-US"/>
              </w:rPr>
            </w:pPr>
            <w:bookmarkStart w:id="390" w:name="_Toc213164222"/>
            <w:r w:rsidRPr="002E4D67">
              <w:rPr>
                <w:rStyle w:val="Fett"/>
                <w:rFonts w:cstheme="minorHAnsi"/>
                <w:lang w:val="en-US"/>
              </w:rPr>
              <w:t>Rights of Token Holders</w:t>
            </w:r>
            <w:bookmarkEnd w:id="390"/>
          </w:p>
          <w:p w14:paraId="3DE7B455" w14:textId="77777777" w:rsidR="001073C5" w:rsidRPr="002E4D67" w:rsidRDefault="001073C5" w:rsidP="007F606C">
            <w:pPr>
              <w:pStyle w:val="Textkrper"/>
              <w:jc w:val="left"/>
              <w:rPr>
                <w:rFonts w:cstheme="minorHAnsi"/>
                <w:lang w:val="en-US"/>
              </w:rPr>
            </w:pPr>
            <w:r w:rsidRPr="002E4D67">
              <w:rPr>
                <w:rFonts w:cstheme="minorHAnsi"/>
                <w:lang w:val="en-US"/>
              </w:rPr>
              <w:t>Token holders are entitled to:</w:t>
            </w:r>
          </w:p>
          <w:p w14:paraId="7CFDF0AD" w14:textId="77777777" w:rsidR="001073C5" w:rsidRPr="002E4D67" w:rsidRDefault="001073C5" w:rsidP="007F606C">
            <w:pPr>
              <w:pStyle w:val="Textkrper"/>
              <w:jc w:val="left"/>
              <w:rPr>
                <w:rFonts w:cstheme="minorHAnsi"/>
                <w:lang w:val="en-US"/>
              </w:rPr>
            </w:pPr>
            <w:r w:rsidRPr="002E4D67">
              <w:rPr>
                <w:rStyle w:val="Fett"/>
                <w:rFonts w:cstheme="minorHAnsi"/>
                <w:lang w:val="en-US"/>
              </w:rPr>
              <w:t>Access to Services:</w:t>
            </w:r>
            <w:r w:rsidRPr="002E4D67">
              <w:rPr>
                <w:rFonts w:cstheme="minorHAnsi"/>
                <w:lang w:val="en-US"/>
              </w:rPr>
              <w:br/>
              <w:t>Use the $WYND token as a digital means of payment to book and participate in WYND services, including:</w:t>
            </w:r>
          </w:p>
          <w:p w14:paraId="350707D9" w14:textId="77777777" w:rsidR="001073C5" w:rsidRPr="002E4D67" w:rsidRDefault="001073C5" w:rsidP="007F606C">
            <w:pPr>
              <w:pStyle w:val="Textkrper"/>
              <w:jc w:val="left"/>
              <w:rPr>
                <w:rFonts w:cstheme="minorHAnsi"/>
                <w:lang w:val="en-US"/>
              </w:rPr>
            </w:pPr>
            <w:r w:rsidRPr="002E4D67">
              <w:rPr>
                <w:rFonts w:cstheme="minorHAnsi"/>
                <w:lang w:val="en-US"/>
              </w:rPr>
              <w:t>WYND Discovery Weeks (operational Red Sea voyages),</w:t>
            </w:r>
          </w:p>
          <w:p w14:paraId="69C4D1FE" w14:textId="09A363D8" w:rsidR="001073C5" w:rsidRPr="002E4D67" w:rsidRDefault="001073C5" w:rsidP="007F606C">
            <w:pPr>
              <w:pStyle w:val="Textkrper"/>
              <w:jc w:val="left"/>
              <w:rPr>
                <w:rFonts w:cstheme="minorHAnsi"/>
                <w:lang w:val="en-US"/>
              </w:rPr>
            </w:pPr>
            <w:r w:rsidRPr="002E4D67">
              <w:rPr>
                <w:rFonts w:cstheme="minorHAnsi"/>
                <w:lang w:val="en-US"/>
              </w:rPr>
              <w:t>WYND Yacht Voyages (planed from 202</w:t>
            </w:r>
            <w:r w:rsidR="00420EE5">
              <w:rPr>
                <w:rFonts w:cstheme="minorHAnsi"/>
                <w:lang w:val="en-US"/>
              </w:rPr>
              <w:t>9</w:t>
            </w:r>
            <w:r w:rsidRPr="002E4D67">
              <w:rPr>
                <w:rFonts w:cstheme="minorHAnsi"/>
                <w:lang w:val="en-US"/>
              </w:rPr>
              <w:t>),</w:t>
            </w:r>
          </w:p>
          <w:p w14:paraId="3EB8E606" w14:textId="77777777" w:rsidR="001073C5" w:rsidRPr="002E4D67" w:rsidRDefault="001073C5" w:rsidP="007F606C">
            <w:pPr>
              <w:pStyle w:val="Textkrper"/>
              <w:jc w:val="left"/>
              <w:rPr>
                <w:rFonts w:cstheme="minorHAnsi"/>
                <w:lang w:val="en-US"/>
              </w:rPr>
            </w:pPr>
            <w:r w:rsidRPr="002E4D67">
              <w:rPr>
                <w:rFonts w:cstheme="minorHAnsi"/>
                <w:lang w:val="en-US"/>
              </w:rPr>
              <w:t>WYND Concierge &amp; Experiences,</w:t>
            </w:r>
          </w:p>
          <w:p w14:paraId="565D4B78" w14:textId="77777777" w:rsidR="001073C5" w:rsidRPr="002E4D67" w:rsidRDefault="001073C5" w:rsidP="007F606C">
            <w:pPr>
              <w:pStyle w:val="Textkrper"/>
              <w:jc w:val="left"/>
              <w:rPr>
                <w:rFonts w:cstheme="minorHAnsi"/>
                <w:lang w:val="en-US"/>
              </w:rPr>
            </w:pPr>
            <w:r w:rsidRPr="002E4D67">
              <w:rPr>
                <w:rFonts w:cstheme="minorHAnsi"/>
                <w:lang w:val="en-US"/>
              </w:rPr>
              <w:t>and future offerings such as WYND Jet &amp; WYND Heli.</w:t>
            </w:r>
          </w:p>
          <w:p w14:paraId="54252BE2" w14:textId="77777777" w:rsidR="001073C5" w:rsidRPr="002E4D67" w:rsidRDefault="001073C5" w:rsidP="007F606C">
            <w:pPr>
              <w:pStyle w:val="Textkrper"/>
              <w:jc w:val="left"/>
              <w:rPr>
                <w:rFonts w:cstheme="minorHAnsi"/>
                <w:lang w:val="en-US"/>
              </w:rPr>
            </w:pPr>
            <w:r w:rsidRPr="002E4D67">
              <w:rPr>
                <w:rStyle w:val="Fett"/>
                <w:rFonts w:cstheme="minorHAnsi"/>
                <w:lang w:val="en-US"/>
              </w:rPr>
              <w:t>Discount Benefit:</w:t>
            </w:r>
            <w:r w:rsidRPr="002E4D67">
              <w:rPr>
                <w:rFonts w:cstheme="minorHAnsi"/>
                <w:lang w:val="en-US"/>
              </w:rPr>
              <w:br/>
              <w:t xml:space="preserve">Receive a </w:t>
            </w:r>
            <w:r w:rsidRPr="002E4D67">
              <w:rPr>
                <w:rStyle w:val="Fett"/>
                <w:rFonts w:cstheme="minorHAnsi"/>
                <w:lang w:val="en-US"/>
              </w:rPr>
              <w:t>15 % discount</w:t>
            </w:r>
            <w:r w:rsidRPr="002E4D67">
              <w:rPr>
                <w:rFonts w:cstheme="minorHAnsi"/>
                <w:lang w:val="en-US"/>
              </w:rPr>
              <w:t xml:space="preserve"> on all services paid in $WYND tokens compared to fiat currency.</w:t>
            </w:r>
          </w:p>
          <w:p w14:paraId="31116F85" w14:textId="77777777" w:rsidR="001073C5" w:rsidRPr="002E4D67" w:rsidRDefault="001073C5" w:rsidP="007F606C">
            <w:pPr>
              <w:pStyle w:val="Textkrper"/>
              <w:jc w:val="left"/>
              <w:rPr>
                <w:rFonts w:cstheme="minorHAnsi"/>
                <w:lang w:val="en-US"/>
              </w:rPr>
            </w:pPr>
            <w:r w:rsidRPr="002E4D67">
              <w:rPr>
                <w:rStyle w:val="Fett"/>
                <w:rFonts w:cstheme="minorHAnsi"/>
                <w:lang w:val="en-US"/>
              </w:rPr>
              <w:t>Membership and Loyalty Access:</w:t>
            </w:r>
            <w:r w:rsidRPr="002E4D67">
              <w:rPr>
                <w:rFonts w:cstheme="minorHAnsi"/>
                <w:lang w:val="en-US"/>
              </w:rPr>
              <w:br/>
              <w:t>Stake tokens to unlock higher membership tiers (3–36 months), providing early-booking privileges, event access, and enhanced service benefits.</w:t>
            </w:r>
            <w:r w:rsidRPr="002E4D67">
              <w:rPr>
                <w:rFonts w:cstheme="minorHAnsi"/>
                <w:lang w:val="en-US"/>
              </w:rPr>
              <w:br/>
              <w:t>Staked tokens remain non-transferable during the staking period and yield no financial return.</w:t>
            </w:r>
          </w:p>
          <w:p w14:paraId="04F002CF" w14:textId="77777777" w:rsidR="001073C5" w:rsidRPr="002E4D67" w:rsidRDefault="001073C5" w:rsidP="007F606C">
            <w:pPr>
              <w:pStyle w:val="Textkrper"/>
              <w:jc w:val="left"/>
              <w:rPr>
                <w:rFonts w:cstheme="minorHAnsi"/>
                <w:lang w:val="en-US"/>
              </w:rPr>
            </w:pPr>
            <w:r w:rsidRPr="002E4D67">
              <w:rPr>
                <w:rStyle w:val="Fett"/>
                <w:rFonts w:cstheme="minorHAnsi"/>
                <w:lang w:val="en-US"/>
              </w:rPr>
              <w:t>Transparency &amp; Communication:</w:t>
            </w:r>
            <w:r w:rsidRPr="002E4D67">
              <w:rPr>
                <w:rFonts w:cstheme="minorHAnsi"/>
                <w:lang w:val="en-US"/>
              </w:rPr>
              <w:br/>
              <w:t xml:space="preserve">Receive transparent updates via official WYND communication channels regarding platform developments, token-related changes, and </w:t>
            </w:r>
            <w:r w:rsidRPr="002E4D67">
              <w:rPr>
                <w:rFonts w:cstheme="minorHAnsi"/>
                <w:lang w:val="en-US"/>
              </w:rPr>
              <w:lastRenderedPageBreak/>
              <w:t>updates to the WYND Price Index (WPI) or Access Credit (AC) system.</w:t>
            </w:r>
          </w:p>
          <w:p w14:paraId="06A8693D" w14:textId="77777777" w:rsidR="001073C5" w:rsidRPr="002E4D67" w:rsidRDefault="001073C5" w:rsidP="007F606C">
            <w:pPr>
              <w:pStyle w:val="Textkrper"/>
              <w:jc w:val="left"/>
              <w:rPr>
                <w:rFonts w:cstheme="minorHAnsi"/>
                <w:lang w:val="en-US"/>
              </w:rPr>
            </w:pPr>
            <w:r w:rsidRPr="002E4D67">
              <w:rPr>
                <w:rStyle w:val="Fett"/>
                <w:rFonts w:cstheme="minorHAnsi"/>
                <w:lang w:val="en-US"/>
              </w:rPr>
              <w:t>Portability:</w:t>
            </w:r>
            <w:r w:rsidRPr="002E4D67">
              <w:rPr>
                <w:rFonts w:cstheme="minorHAnsi"/>
                <w:lang w:val="en-US"/>
              </w:rPr>
              <w:br/>
              <w:t>Hold and transfer $WYND tokens between compliant, KYC-verified wallets, provided such transfers comply with applicable AML/CFT laws.</w:t>
            </w:r>
          </w:p>
          <w:p w14:paraId="05D9F8D2" w14:textId="1967C110" w:rsidR="001073C5" w:rsidRPr="002E4D67" w:rsidRDefault="001073C5" w:rsidP="007F606C">
            <w:pPr>
              <w:pStyle w:val="Textkrper"/>
              <w:jc w:val="left"/>
              <w:rPr>
                <w:rFonts w:cstheme="minorHAnsi"/>
                <w:bCs/>
                <w:lang w:val="en-US"/>
              </w:rPr>
            </w:pPr>
            <w:bookmarkStart w:id="391" w:name="_Toc213164223"/>
            <w:r w:rsidRPr="002E4D67">
              <w:rPr>
                <w:rStyle w:val="Fett"/>
                <w:rFonts w:cstheme="minorHAnsi"/>
                <w:lang w:val="en-US"/>
              </w:rPr>
              <w:t>Obligations of Token Holders</w:t>
            </w:r>
            <w:bookmarkEnd w:id="391"/>
          </w:p>
          <w:p w14:paraId="162B317C" w14:textId="77777777" w:rsidR="001073C5" w:rsidRPr="002E4D67" w:rsidRDefault="001073C5" w:rsidP="007F606C">
            <w:pPr>
              <w:pStyle w:val="Textkrper"/>
              <w:jc w:val="left"/>
              <w:rPr>
                <w:rFonts w:cstheme="minorHAnsi"/>
                <w:lang w:val="en-US"/>
              </w:rPr>
            </w:pPr>
            <w:r w:rsidRPr="002E4D67">
              <w:rPr>
                <w:rFonts w:cstheme="minorHAnsi"/>
                <w:lang w:val="en-US"/>
              </w:rPr>
              <w:t>Token holders agree to:</w:t>
            </w:r>
          </w:p>
          <w:p w14:paraId="1216276F" w14:textId="77777777" w:rsidR="001073C5" w:rsidRPr="002E4D67" w:rsidRDefault="001073C5" w:rsidP="007F606C">
            <w:pPr>
              <w:pStyle w:val="Textkrper"/>
              <w:jc w:val="left"/>
              <w:rPr>
                <w:rFonts w:cstheme="minorHAnsi"/>
                <w:lang w:val="en-US"/>
              </w:rPr>
            </w:pPr>
            <w:r w:rsidRPr="002E4D67">
              <w:rPr>
                <w:rStyle w:val="Fett"/>
                <w:rFonts w:cstheme="minorHAnsi"/>
                <w:lang w:val="en-US"/>
              </w:rPr>
              <w:t>Compliance:</w:t>
            </w:r>
            <w:r w:rsidRPr="002E4D67">
              <w:rPr>
                <w:rFonts w:cstheme="minorHAnsi"/>
                <w:lang w:val="en-US"/>
              </w:rPr>
              <w:br/>
              <w:t>Complete KYC/AML verification prior to any purchase or transfer, in accordance with EU and German regulations.</w:t>
            </w:r>
          </w:p>
          <w:p w14:paraId="76F38871" w14:textId="77777777" w:rsidR="001073C5" w:rsidRPr="002E4D67" w:rsidRDefault="001073C5" w:rsidP="007F606C">
            <w:pPr>
              <w:pStyle w:val="Textkrper"/>
              <w:jc w:val="left"/>
              <w:rPr>
                <w:rFonts w:cstheme="minorHAnsi"/>
                <w:lang w:val="en-US"/>
              </w:rPr>
            </w:pPr>
            <w:r w:rsidRPr="002E4D67">
              <w:rPr>
                <w:rStyle w:val="Fett"/>
                <w:rFonts w:cstheme="minorHAnsi"/>
                <w:lang w:val="en-US"/>
              </w:rPr>
              <w:t>Platform Usage:</w:t>
            </w:r>
            <w:r w:rsidRPr="002E4D67">
              <w:rPr>
                <w:rFonts w:cstheme="minorHAnsi"/>
                <w:lang w:val="en-US"/>
              </w:rPr>
              <w:br/>
              <w:t>Use the tokens solely for purposes within the WYND ecosystem (service access, payments, staking) and not for speculative or investment activities.</w:t>
            </w:r>
          </w:p>
          <w:p w14:paraId="77C63CF3" w14:textId="77777777" w:rsidR="001073C5" w:rsidRPr="002E4D67" w:rsidRDefault="001073C5" w:rsidP="007F606C">
            <w:pPr>
              <w:pStyle w:val="Textkrper"/>
              <w:jc w:val="left"/>
              <w:rPr>
                <w:rFonts w:cstheme="minorHAnsi"/>
                <w:lang w:val="en-US"/>
              </w:rPr>
            </w:pPr>
            <w:r w:rsidRPr="002E4D67">
              <w:rPr>
                <w:rStyle w:val="Fett"/>
                <w:rFonts w:cstheme="minorHAnsi"/>
                <w:lang w:val="en-US"/>
              </w:rPr>
              <w:t>Technical Responsibility:</w:t>
            </w:r>
            <w:r w:rsidRPr="002E4D67">
              <w:rPr>
                <w:rFonts w:cstheme="minorHAnsi"/>
                <w:lang w:val="en-US"/>
              </w:rPr>
              <w:br/>
              <w:t>Maintain control and security over their personal wallets and private keys. WYND Capital GmbH bears no liability for lost access due to user error or third-party misconduct.</w:t>
            </w:r>
          </w:p>
          <w:p w14:paraId="7AEDDC5C" w14:textId="5AAA5876" w:rsidR="001073C5" w:rsidRPr="002E4D67" w:rsidRDefault="001073C5" w:rsidP="007F606C">
            <w:pPr>
              <w:pStyle w:val="Textkrper"/>
              <w:jc w:val="left"/>
              <w:rPr>
                <w:rFonts w:cstheme="minorHAnsi"/>
                <w:lang w:val="en-US"/>
              </w:rPr>
            </w:pPr>
            <w:r w:rsidRPr="002E4D67">
              <w:rPr>
                <w:rStyle w:val="Fett"/>
                <w:rFonts w:cstheme="minorHAnsi"/>
                <w:lang w:val="en-US"/>
              </w:rPr>
              <w:t>Respect of Terms of Use:</w:t>
            </w:r>
            <w:r w:rsidRPr="002E4D67">
              <w:rPr>
                <w:rFonts w:cstheme="minorHAnsi"/>
                <w:lang w:val="en-US"/>
              </w:rPr>
              <w:br/>
              <w:t>Adhere to the official WYND Terms of Use, which govern service usage, staking mechanisms, AC conversion, and any platform-based interactions.</w:t>
            </w:r>
          </w:p>
          <w:p w14:paraId="122BA093" w14:textId="23099015" w:rsidR="001073C5" w:rsidRPr="002E4D67" w:rsidRDefault="001073C5" w:rsidP="007F606C">
            <w:pPr>
              <w:pStyle w:val="Textkrper"/>
              <w:jc w:val="left"/>
              <w:rPr>
                <w:rFonts w:cstheme="minorHAnsi"/>
                <w:bCs/>
                <w:lang w:val="en-US"/>
              </w:rPr>
            </w:pPr>
            <w:bookmarkStart w:id="392" w:name="_Toc213164224"/>
            <w:r w:rsidRPr="002E4D67">
              <w:rPr>
                <w:rStyle w:val="Fett"/>
                <w:rFonts w:cstheme="minorHAnsi"/>
                <w:lang w:val="en-US"/>
              </w:rPr>
              <w:t>Modification of Non-Essential Rights and Obligations</w:t>
            </w:r>
            <w:bookmarkEnd w:id="392"/>
          </w:p>
          <w:p w14:paraId="2EBBD14A" w14:textId="77777777" w:rsidR="001073C5" w:rsidRPr="002E4D67" w:rsidRDefault="001073C5" w:rsidP="007F606C">
            <w:pPr>
              <w:pStyle w:val="Textkrper"/>
              <w:jc w:val="left"/>
              <w:rPr>
                <w:rFonts w:cstheme="minorHAnsi"/>
                <w:lang w:val="en-US"/>
              </w:rPr>
            </w:pPr>
            <w:r w:rsidRPr="002E4D67">
              <w:rPr>
                <w:rFonts w:cstheme="minorHAnsi"/>
                <w:lang w:val="en-US"/>
              </w:rPr>
              <w:t>WYND Capital GmbH may amend non-essential rights and obligations of token holders only for legitimate and objectively justified reasons, in accordance with the WYND Terms of Use.</w:t>
            </w:r>
          </w:p>
          <w:p w14:paraId="7658CBF6" w14:textId="77777777" w:rsidR="001073C5" w:rsidRPr="002E4D67" w:rsidRDefault="001073C5" w:rsidP="007F606C">
            <w:pPr>
              <w:pStyle w:val="Textkrper"/>
              <w:jc w:val="left"/>
              <w:rPr>
                <w:rFonts w:cstheme="minorHAnsi"/>
                <w:lang w:val="en-US"/>
              </w:rPr>
            </w:pPr>
            <w:r w:rsidRPr="002E4D67">
              <w:rPr>
                <w:rFonts w:cstheme="minorHAnsi"/>
                <w:lang w:val="en-US"/>
              </w:rPr>
              <w:t>Such reasons include in particular:</w:t>
            </w:r>
          </w:p>
          <w:p w14:paraId="47959287" w14:textId="77777777" w:rsidR="001073C5" w:rsidRPr="002E4D67" w:rsidRDefault="001073C5" w:rsidP="007F606C">
            <w:pPr>
              <w:pStyle w:val="Textkrper"/>
              <w:jc w:val="left"/>
              <w:rPr>
                <w:rFonts w:cstheme="minorHAnsi"/>
                <w:lang w:val="en-US"/>
              </w:rPr>
            </w:pPr>
            <w:r w:rsidRPr="002E4D67">
              <w:rPr>
                <w:rFonts w:cstheme="minorHAnsi"/>
                <w:lang w:val="en-US"/>
              </w:rPr>
              <w:t>compliance with MiCAR and other applicable regulatory or legal requirements,</w:t>
            </w:r>
          </w:p>
          <w:p w14:paraId="5023301D" w14:textId="77777777" w:rsidR="001073C5" w:rsidRPr="002E4D67" w:rsidRDefault="001073C5" w:rsidP="007F606C">
            <w:pPr>
              <w:pStyle w:val="Textkrper"/>
              <w:jc w:val="left"/>
              <w:rPr>
                <w:rFonts w:cstheme="minorHAnsi"/>
                <w:lang w:val="en-US"/>
              </w:rPr>
            </w:pPr>
            <w:r w:rsidRPr="002E4D67">
              <w:rPr>
                <w:rFonts w:cstheme="minorHAnsi"/>
                <w:lang w:val="en-US"/>
              </w:rPr>
              <w:lastRenderedPageBreak/>
              <w:t>necessary technical or operational adjustments to maintain the stability and functionality of the WYND Price Index (WPI) and Access Credit (AC) system, and</w:t>
            </w:r>
          </w:p>
          <w:p w14:paraId="70F9B807" w14:textId="77777777" w:rsidR="001073C5" w:rsidRPr="002E4D67" w:rsidRDefault="001073C5" w:rsidP="007F606C">
            <w:pPr>
              <w:pStyle w:val="Textkrper"/>
              <w:jc w:val="left"/>
              <w:rPr>
                <w:rFonts w:cstheme="minorHAnsi"/>
                <w:lang w:val="en-US"/>
              </w:rPr>
            </w:pPr>
            <w:r w:rsidRPr="002E4D67">
              <w:rPr>
                <w:rFonts w:cstheme="minorHAnsi"/>
                <w:lang w:val="en-US"/>
              </w:rPr>
              <w:t>safeguarding the quality, security and availability of WYND services.</w:t>
            </w:r>
          </w:p>
          <w:p w14:paraId="59D374B9" w14:textId="1486B59B" w:rsidR="001073C5" w:rsidRPr="002E4D67" w:rsidRDefault="001073C5" w:rsidP="007F606C">
            <w:pPr>
              <w:pStyle w:val="Textkrper"/>
              <w:jc w:val="left"/>
              <w:rPr>
                <w:rFonts w:cstheme="minorHAnsi"/>
                <w:lang w:val="en-US"/>
              </w:rPr>
            </w:pPr>
            <w:r w:rsidRPr="002E4D67">
              <w:rPr>
                <w:rFonts w:cstheme="minorHAnsi"/>
                <w:lang w:val="en-US"/>
              </w:rPr>
              <w:t>Any modification shall apply only prospectively, shall not affect essential contractual rights (including confirmed bookings, ongoing staking periods, or the fundamental utility of the token), and shall be communicated transparently in advance through official WYND channels.</w:t>
            </w:r>
            <w:r w:rsidRPr="002E4D67">
              <w:rPr>
                <w:rFonts w:cstheme="minorHAnsi"/>
                <w:lang w:val="en-US"/>
              </w:rPr>
              <w:br/>
              <w:t>Where a modification materially and adversely affects a token holder’s position, explicit consent of the affected holder will be required prior to implementation.</w:t>
            </w:r>
          </w:p>
          <w:p w14:paraId="2031D1F3" w14:textId="1A6ADA80" w:rsidR="001073C5" w:rsidRPr="002E4D67" w:rsidRDefault="001073C5" w:rsidP="007F606C">
            <w:pPr>
              <w:pStyle w:val="Textkrper"/>
              <w:jc w:val="left"/>
              <w:rPr>
                <w:rFonts w:cstheme="minorHAnsi"/>
                <w:bCs/>
                <w:lang w:val="en-US"/>
              </w:rPr>
            </w:pPr>
            <w:bookmarkStart w:id="393" w:name="_Toc213164225"/>
            <w:r w:rsidRPr="002E4D67">
              <w:rPr>
                <w:rStyle w:val="Fett"/>
                <w:rFonts w:cstheme="minorHAnsi"/>
                <w:lang w:val="en-US"/>
              </w:rPr>
              <w:t>No Redemption or Repurchase Obligation</w:t>
            </w:r>
            <w:bookmarkEnd w:id="393"/>
          </w:p>
          <w:p w14:paraId="32500A9B" w14:textId="77777777" w:rsidR="001073C5" w:rsidRPr="002E4D67" w:rsidRDefault="001073C5" w:rsidP="007F606C">
            <w:pPr>
              <w:pStyle w:val="Textkrper"/>
              <w:jc w:val="left"/>
              <w:rPr>
                <w:rFonts w:cstheme="minorHAnsi"/>
                <w:lang w:val="en-US"/>
              </w:rPr>
            </w:pPr>
            <w:r w:rsidRPr="002E4D67">
              <w:rPr>
                <w:rFonts w:cstheme="minorHAnsi"/>
                <w:lang w:val="en-US"/>
              </w:rPr>
              <w:t xml:space="preserve">WYND Capital GmbH has </w:t>
            </w:r>
            <w:r w:rsidRPr="002E4D67">
              <w:rPr>
                <w:rStyle w:val="Fett"/>
                <w:rFonts w:cstheme="minorHAnsi"/>
                <w:lang w:val="en-US"/>
              </w:rPr>
              <w:t>no obligation</w:t>
            </w:r>
            <w:r w:rsidRPr="002E4D67">
              <w:rPr>
                <w:rFonts w:cstheme="minorHAnsi"/>
                <w:lang w:val="en-US"/>
              </w:rPr>
              <w:t xml:space="preserve"> to redeem, repurchase, or exchange tokens for fiat or other assets.</w:t>
            </w:r>
            <w:r w:rsidRPr="002E4D67">
              <w:rPr>
                <w:rFonts w:cstheme="minorHAnsi"/>
                <w:lang w:val="en-US"/>
              </w:rPr>
              <w:br/>
              <w:t>Tokens can only be used as a functional medium within the WYND ecosystem and have no guaranteed market value.</w:t>
            </w:r>
          </w:p>
          <w:bookmarkEnd w:id="389"/>
          <w:p w14:paraId="43B3A00B" w14:textId="77777777" w:rsidR="001073C5" w:rsidRPr="002E4D67" w:rsidRDefault="001073C5" w:rsidP="001073C5">
            <w:pPr>
              <w:pStyle w:val="Textkrper"/>
              <w:rPr>
                <w:rFonts w:cstheme="minorHAnsi"/>
                <w:lang w:val="en-US"/>
              </w:rPr>
            </w:pPr>
          </w:p>
        </w:tc>
      </w:tr>
      <w:tr w:rsidR="001073C5" w:rsidRPr="002E4D67" w14:paraId="624458FA" w14:textId="77777777" w:rsidTr="00D64090">
        <w:tc>
          <w:tcPr>
            <w:tcW w:w="1985" w:type="dxa"/>
          </w:tcPr>
          <w:p w14:paraId="2B5F0E87" w14:textId="5190F49B" w:rsidR="001073C5" w:rsidRPr="002E4D67" w:rsidRDefault="001073C5" w:rsidP="001073C5">
            <w:pPr>
              <w:pStyle w:val="berschrift1"/>
              <w:keepNext w:val="0"/>
              <w:keepLines w:val="0"/>
              <w:rPr>
                <w:lang w:val="en-US"/>
              </w:rPr>
            </w:pPr>
            <w:bookmarkStart w:id="394" w:name="_Toc212017992"/>
            <w:bookmarkStart w:id="395" w:name="_Toc213164226"/>
            <w:bookmarkStart w:id="396" w:name="_Toc213179206"/>
            <w:r w:rsidRPr="002E4D67">
              <w:rPr>
                <w:lang w:val="en-US"/>
              </w:rPr>
              <w:lastRenderedPageBreak/>
              <w:t>G.2 Exercise of Rights and Obligations</w:t>
            </w:r>
            <w:bookmarkEnd w:id="394"/>
            <w:bookmarkEnd w:id="395"/>
            <w:bookmarkEnd w:id="396"/>
          </w:p>
        </w:tc>
        <w:tc>
          <w:tcPr>
            <w:tcW w:w="6371" w:type="dxa"/>
          </w:tcPr>
          <w:p w14:paraId="78BD1FDD" w14:textId="77777777" w:rsidR="001073C5" w:rsidRPr="002E4D67" w:rsidRDefault="001073C5" w:rsidP="001073C5">
            <w:pPr>
              <w:pStyle w:val="Textkrper"/>
              <w:rPr>
                <w:rFonts w:cstheme="minorHAnsi"/>
                <w:lang w:val="en-US"/>
              </w:rPr>
            </w:pPr>
            <w:bookmarkStart w:id="397" w:name="_cp_change_890"/>
            <w:r w:rsidRPr="002E4D67">
              <w:rPr>
                <w:rFonts w:cstheme="minorHAnsi"/>
                <w:lang w:val="en-US"/>
              </w:rPr>
              <w:t>Holders of the WYND Utility Token ($WYND) may exercise their rights exclusively through the WYND digital platform (online portal and mobile application).</w:t>
            </w:r>
            <w:bookmarkStart w:id="398" w:name="_cp_change_889"/>
            <w:bookmarkEnd w:id="397"/>
          </w:p>
          <w:p w14:paraId="0A7C64CA" w14:textId="77777777" w:rsidR="001073C5" w:rsidRPr="002E4D67" w:rsidRDefault="001073C5" w:rsidP="001073C5">
            <w:pPr>
              <w:pStyle w:val="Textkrper"/>
              <w:rPr>
                <w:rFonts w:cstheme="minorHAnsi"/>
                <w:lang w:val="en-US"/>
              </w:rPr>
            </w:pPr>
            <w:bookmarkStart w:id="399" w:name="_cp_change_894"/>
            <w:bookmarkStart w:id="400" w:name="_cp_change_896"/>
            <w:bookmarkEnd w:id="398"/>
            <w:r w:rsidRPr="002E4D67">
              <w:rPr>
                <w:rFonts w:cstheme="minorHAnsi"/>
                <w:lang w:val="en-US"/>
              </w:rPr>
              <w:t>D</w:t>
            </w:r>
            <w:bookmarkEnd w:id="399"/>
            <w:r w:rsidRPr="002E4D67">
              <w:rPr>
                <w:rFonts w:cstheme="minorHAnsi"/>
                <w:lang w:val="en-US"/>
              </w:rPr>
              <w:t>iscount application: The 15% discount is automatically applied at checkout when payments are made in $WYND.</w:t>
            </w:r>
            <w:bookmarkStart w:id="401" w:name="_cp_change_895"/>
            <w:bookmarkEnd w:id="400"/>
          </w:p>
          <w:p w14:paraId="61334477" w14:textId="77777777" w:rsidR="001073C5" w:rsidRPr="002E4D67" w:rsidRDefault="001073C5" w:rsidP="001073C5">
            <w:pPr>
              <w:pStyle w:val="Textkrper"/>
              <w:rPr>
                <w:rFonts w:cstheme="minorHAnsi"/>
                <w:lang w:val="en-US"/>
              </w:rPr>
            </w:pPr>
            <w:bookmarkStart w:id="402" w:name="_cp_change_897"/>
            <w:bookmarkStart w:id="403" w:name="_cp_change_899"/>
            <w:bookmarkEnd w:id="401"/>
            <w:r w:rsidRPr="002E4D67">
              <w:rPr>
                <w:rFonts w:cstheme="minorHAnsi"/>
                <w:lang w:val="en-US"/>
              </w:rPr>
              <w:t>S</w:t>
            </w:r>
            <w:bookmarkEnd w:id="402"/>
            <w:r w:rsidRPr="002E4D67">
              <w:rPr>
                <w:rFonts w:cstheme="minorHAnsi"/>
                <w:lang w:val="en-US"/>
              </w:rPr>
              <w:t>taking: Rights associated with staking (e.g., early booking privileges, tier upgrades) are activated upon lock-in of tokens for the chosen period (3–36 months) and managed transparently via smart contracts.</w:t>
            </w:r>
            <w:bookmarkStart w:id="404" w:name="_cp_change_898"/>
            <w:bookmarkEnd w:id="403"/>
          </w:p>
          <w:p w14:paraId="06D67415" w14:textId="77777777" w:rsidR="001073C5" w:rsidRPr="002E4D67" w:rsidRDefault="001073C5" w:rsidP="001073C5">
            <w:pPr>
              <w:pStyle w:val="Textkrper"/>
              <w:rPr>
                <w:rFonts w:cstheme="minorHAnsi"/>
                <w:lang w:val="en-US"/>
              </w:rPr>
            </w:pPr>
            <w:bookmarkStart w:id="405" w:name="_cp_change_900"/>
            <w:bookmarkStart w:id="406" w:name="_cp_change_902"/>
            <w:bookmarkEnd w:id="404"/>
            <w:r w:rsidRPr="002E4D67">
              <w:rPr>
                <w:rFonts w:cstheme="minorHAnsi"/>
                <w:lang w:val="en-US"/>
              </w:rPr>
              <w:t>T</w:t>
            </w:r>
            <w:bookmarkEnd w:id="405"/>
            <w:r w:rsidRPr="002E4D67">
              <w:rPr>
                <w:rFonts w:cstheme="minorHAnsi"/>
                <w:lang w:val="en-US"/>
              </w:rPr>
              <w:t>ransferability: Tokens are freely transferable between wallets, subject to AML/KYC restrictions where legally required.</w:t>
            </w:r>
            <w:bookmarkStart w:id="407" w:name="_cp_change_901"/>
            <w:bookmarkEnd w:id="406"/>
          </w:p>
          <w:p w14:paraId="6C2FFDDA" w14:textId="77777777" w:rsidR="001073C5" w:rsidRPr="002E4D67" w:rsidRDefault="001073C5" w:rsidP="001073C5">
            <w:pPr>
              <w:pStyle w:val="Textkrper"/>
              <w:rPr>
                <w:rFonts w:cstheme="minorHAnsi"/>
                <w:lang w:val="en-US"/>
              </w:rPr>
            </w:pPr>
            <w:bookmarkStart w:id="408" w:name="_cp_change_903"/>
            <w:bookmarkStart w:id="409" w:name="_cp_change_905"/>
            <w:bookmarkEnd w:id="407"/>
            <w:r w:rsidRPr="002E4D67">
              <w:rPr>
                <w:rFonts w:cstheme="minorHAnsi"/>
                <w:lang w:val="en-US"/>
              </w:rPr>
              <w:t>L</w:t>
            </w:r>
            <w:bookmarkEnd w:id="408"/>
            <w:r w:rsidRPr="002E4D67">
              <w:rPr>
                <w:rFonts w:cstheme="minorHAnsi"/>
                <w:lang w:val="en-US"/>
              </w:rPr>
              <w:t>imitations: $WYND does not grant financial returns, dividends, or ownership rights.</w:t>
            </w:r>
            <w:bookmarkStart w:id="410" w:name="_cp_change_904"/>
            <w:bookmarkEnd w:id="409"/>
          </w:p>
          <w:p w14:paraId="082A8531" w14:textId="77777777" w:rsidR="001073C5" w:rsidRPr="002E4D67" w:rsidRDefault="001073C5" w:rsidP="001073C5">
            <w:pPr>
              <w:pStyle w:val="Textkrper"/>
              <w:rPr>
                <w:rFonts w:cstheme="minorHAnsi"/>
                <w:lang w:val="en-US"/>
              </w:rPr>
            </w:pPr>
            <w:bookmarkStart w:id="411" w:name="_cp_change_907"/>
            <w:bookmarkEnd w:id="410"/>
            <w:r w:rsidRPr="002E4D67">
              <w:rPr>
                <w:rFonts w:cstheme="minorHAnsi"/>
                <w:lang w:val="en-US"/>
              </w:rPr>
              <w:lastRenderedPageBreak/>
              <w:t>All obligations (e.g., payment of gas fees, compliance with terms of service) must be fulfilled by the token holder in order to exercise the above rights.</w:t>
            </w:r>
            <w:bookmarkEnd w:id="411"/>
          </w:p>
        </w:tc>
      </w:tr>
      <w:tr w:rsidR="001073C5" w:rsidRPr="002E4D67" w14:paraId="1E895186" w14:textId="77777777" w:rsidTr="00D64090">
        <w:tc>
          <w:tcPr>
            <w:tcW w:w="1985" w:type="dxa"/>
          </w:tcPr>
          <w:p w14:paraId="3D80386E" w14:textId="59884305" w:rsidR="001073C5" w:rsidRPr="002E4D67" w:rsidRDefault="001073C5" w:rsidP="001073C5">
            <w:pPr>
              <w:pStyle w:val="berschrift1"/>
              <w:keepNext w:val="0"/>
              <w:keepLines w:val="0"/>
              <w:rPr>
                <w:lang w:val="en-US"/>
              </w:rPr>
            </w:pPr>
            <w:bookmarkStart w:id="412" w:name="_Toc212017994"/>
            <w:bookmarkStart w:id="413" w:name="_Toc213164227"/>
            <w:bookmarkStart w:id="414" w:name="_Toc213179207"/>
            <w:r w:rsidRPr="002E4D67">
              <w:rPr>
                <w:lang w:val="en-US"/>
              </w:rPr>
              <w:lastRenderedPageBreak/>
              <w:t>G.3 Conditions for modifications of rights and obligations</w:t>
            </w:r>
            <w:bookmarkEnd w:id="412"/>
            <w:bookmarkEnd w:id="413"/>
            <w:bookmarkEnd w:id="414"/>
          </w:p>
        </w:tc>
        <w:tc>
          <w:tcPr>
            <w:tcW w:w="6371" w:type="dxa"/>
          </w:tcPr>
          <w:p w14:paraId="7B01B823" w14:textId="77777777" w:rsidR="001073C5" w:rsidRPr="002E4D67" w:rsidRDefault="001073C5" w:rsidP="001073C5">
            <w:pPr>
              <w:pStyle w:val="Textkrper"/>
              <w:rPr>
                <w:rFonts w:cstheme="minorHAnsi"/>
                <w:lang w:val="en-US"/>
              </w:rPr>
            </w:pPr>
            <w:r w:rsidRPr="002E4D67">
              <w:rPr>
                <w:rFonts w:cstheme="minorHAnsi"/>
                <w:lang w:val="en-US"/>
              </w:rPr>
              <w:t xml:space="preserve">WYND Capital GmbH may amend </w:t>
            </w:r>
            <w:r w:rsidRPr="002E4D67">
              <w:rPr>
                <w:rStyle w:val="Fett"/>
                <w:rFonts w:cstheme="minorHAnsi"/>
                <w:lang w:val="en-US"/>
              </w:rPr>
              <w:t>non-essential rights and obligations</w:t>
            </w:r>
            <w:r w:rsidRPr="002E4D67">
              <w:rPr>
                <w:rFonts w:cstheme="minorHAnsi"/>
                <w:lang w:val="en-US"/>
              </w:rPr>
              <w:t xml:space="preserve"> of token holders </w:t>
            </w:r>
            <w:r w:rsidRPr="002E4D67">
              <w:rPr>
                <w:rStyle w:val="Fett"/>
                <w:rFonts w:cstheme="minorHAnsi"/>
                <w:lang w:val="en-US"/>
              </w:rPr>
              <w:t>only for legitimate and objectively justified reasons</w:t>
            </w:r>
            <w:r w:rsidRPr="002E4D67">
              <w:rPr>
                <w:rFonts w:cstheme="minorHAnsi"/>
                <w:lang w:val="en-US"/>
              </w:rPr>
              <w:t>, in accordance with the WYND Terms of Use and applicable EU and German law.</w:t>
            </w:r>
          </w:p>
          <w:p w14:paraId="0C02114D" w14:textId="77777777" w:rsidR="001073C5" w:rsidRPr="002E4D67" w:rsidRDefault="001073C5" w:rsidP="001073C5">
            <w:pPr>
              <w:pStyle w:val="Textkrper"/>
              <w:rPr>
                <w:rFonts w:cstheme="minorHAnsi"/>
                <w:lang w:val="en-US"/>
              </w:rPr>
            </w:pPr>
            <w:r w:rsidRPr="002E4D67">
              <w:rPr>
                <w:rFonts w:cstheme="minorHAnsi"/>
                <w:lang w:val="en-US"/>
              </w:rPr>
              <w:t>Such reasons include, in particular:</w:t>
            </w:r>
          </w:p>
          <w:p w14:paraId="465E70BE" w14:textId="77777777" w:rsidR="001073C5" w:rsidRPr="002E4D67" w:rsidRDefault="001073C5" w:rsidP="001073C5">
            <w:pPr>
              <w:pStyle w:val="Textkrper"/>
              <w:rPr>
                <w:rFonts w:cstheme="minorHAnsi"/>
                <w:lang w:val="en-US"/>
              </w:rPr>
            </w:pPr>
            <w:r w:rsidRPr="002E4D67">
              <w:rPr>
                <w:rFonts w:cstheme="minorHAnsi"/>
                <w:lang w:val="en-US"/>
              </w:rPr>
              <w:t xml:space="preserve">compliance with </w:t>
            </w:r>
            <w:r w:rsidRPr="002E4D67">
              <w:rPr>
                <w:rStyle w:val="Fett"/>
                <w:rFonts w:cstheme="minorHAnsi"/>
                <w:lang w:val="en-US"/>
              </w:rPr>
              <w:t>MiCAR</w:t>
            </w:r>
            <w:r w:rsidRPr="002E4D67">
              <w:rPr>
                <w:rFonts w:cstheme="minorHAnsi"/>
                <w:lang w:val="en-US"/>
              </w:rPr>
              <w:t xml:space="preserve"> or other applicable regulatory or legal requirements,</w:t>
            </w:r>
          </w:p>
          <w:p w14:paraId="30180496" w14:textId="77777777" w:rsidR="001073C5" w:rsidRPr="002E4D67" w:rsidRDefault="001073C5" w:rsidP="001073C5">
            <w:pPr>
              <w:pStyle w:val="Textkrper"/>
              <w:rPr>
                <w:rFonts w:cstheme="minorHAnsi"/>
                <w:lang w:val="en-US"/>
              </w:rPr>
            </w:pPr>
            <w:r w:rsidRPr="002E4D67">
              <w:rPr>
                <w:rFonts w:cstheme="minorHAnsi"/>
                <w:lang w:val="en-US"/>
              </w:rPr>
              <w:t xml:space="preserve">necessary </w:t>
            </w:r>
            <w:r w:rsidRPr="002E4D67">
              <w:rPr>
                <w:rStyle w:val="Fett"/>
                <w:rFonts w:cstheme="minorHAnsi"/>
                <w:lang w:val="en-US"/>
              </w:rPr>
              <w:t>technical or operational adjustments</w:t>
            </w:r>
            <w:r w:rsidRPr="002E4D67">
              <w:rPr>
                <w:rFonts w:cstheme="minorHAnsi"/>
                <w:lang w:val="en-US"/>
              </w:rPr>
              <w:t xml:space="preserve"> to ensure the stability and proper functioning of the </w:t>
            </w:r>
            <w:r w:rsidRPr="002E4D67">
              <w:rPr>
                <w:rStyle w:val="Fett"/>
                <w:rFonts w:cstheme="minorHAnsi"/>
                <w:lang w:val="en-US"/>
              </w:rPr>
              <w:t>WYND Price Index (WPI)</w:t>
            </w:r>
            <w:r w:rsidRPr="002E4D67">
              <w:rPr>
                <w:rFonts w:cstheme="minorHAnsi"/>
                <w:lang w:val="en-US"/>
              </w:rPr>
              <w:t xml:space="preserve"> and </w:t>
            </w:r>
            <w:r w:rsidRPr="002E4D67">
              <w:rPr>
                <w:rStyle w:val="Fett"/>
                <w:rFonts w:cstheme="minorHAnsi"/>
                <w:lang w:val="en-US"/>
              </w:rPr>
              <w:t>Access Credit (AC)</w:t>
            </w:r>
            <w:r w:rsidRPr="002E4D67">
              <w:rPr>
                <w:rFonts w:cstheme="minorHAnsi"/>
                <w:lang w:val="en-US"/>
              </w:rPr>
              <w:t xml:space="preserve"> system, and</w:t>
            </w:r>
          </w:p>
          <w:p w14:paraId="2474C6FC" w14:textId="77777777" w:rsidR="001073C5" w:rsidRPr="002E4D67" w:rsidRDefault="001073C5" w:rsidP="001073C5">
            <w:pPr>
              <w:pStyle w:val="Textkrper"/>
              <w:rPr>
                <w:rFonts w:cstheme="minorHAnsi"/>
                <w:lang w:val="en-US"/>
              </w:rPr>
            </w:pPr>
            <w:r w:rsidRPr="002E4D67">
              <w:rPr>
                <w:rFonts w:cstheme="minorHAnsi"/>
                <w:lang w:val="en-US"/>
              </w:rPr>
              <w:t xml:space="preserve">safeguarding the </w:t>
            </w:r>
            <w:r w:rsidRPr="002E4D67">
              <w:rPr>
                <w:rStyle w:val="Fett"/>
                <w:rFonts w:cstheme="minorHAnsi"/>
                <w:lang w:val="en-US"/>
              </w:rPr>
              <w:t>quality, security, and continuous availability</w:t>
            </w:r>
            <w:r w:rsidRPr="002E4D67">
              <w:rPr>
                <w:rFonts w:cstheme="minorHAnsi"/>
                <w:lang w:val="en-US"/>
              </w:rPr>
              <w:t xml:space="preserve"> of WYND services.</w:t>
            </w:r>
          </w:p>
          <w:p w14:paraId="2F0278E1" w14:textId="77777777" w:rsidR="001073C5" w:rsidRPr="002E4D67" w:rsidRDefault="001073C5" w:rsidP="001073C5">
            <w:pPr>
              <w:pStyle w:val="Textkrper"/>
              <w:rPr>
                <w:rFonts w:cstheme="minorHAnsi"/>
                <w:lang w:val="en-US"/>
              </w:rPr>
            </w:pPr>
            <w:r w:rsidRPr="002E4D67">
              <w:rPr>
                <w:rFonts w:cstheme="minorHAnsi"/>
                <w:lang w:val="en-US"/>
              </w:rPr>
              <w:t>Any modification shall:</w:t>
            </w:r>
          </w:p>
          <w:p w14:paraId="0CE42695" w14:textId="77777777" w:rsidR="001073C5" w:rsidRPr="002E4D67" w:rsidRDefault="001073C5" w:rsidP="001073C5">
            <w:pPr>
              <w:pStyle w:val="Textkrper"/>
              <w:rPr>
                <w:rFonts w:cstheme="minorHAnsi"/>
                <w:lang w:val="en-US"/>
              </w:rPr>
            </w:pPr>
            <w:r w:rsidRPr="002E4D67">
              <w:rPr>
                <w:rFonts w:cstheme="minorHAnsi"/>
                <w:lang w:val="en-US"/>
              </w:rPr>
              <w:t xml:space="preserve">apply </w:t>
            </w:r>
            <w:r w:rsidRPr="002E4D67">
              <w:rPr>
                <w:rStyle w:val="Fett"/>
                <w:rFonts w:cstheme="minorHAnsi"/>
                <w:lang w:val="en-US"/>
              </w:rPr>
              <w:t>only prospectively</w:t>
            </w:r>
            <w:r w:rsidRPr="002E4D67">
              <w:rPr>
                <w:rFonts w:cstheme="minorHAnsi"/>
                <w:lang w:val="en-US"/>
              </w:rPr>
              <w:t xml:space="preserve"> (no retroactive effect),</w:t>
            </w:r>
          </w:p>
          <w:p w14:paraId="27A8E99D" w14:textId="77777777" w:rsidR="001073C5" w:rsidRPr="002E4D67" w:rsidRDefault="001073C5" w:rsidP="001073C5">
            <w:pPr>
              <w:pStyle w:val="Textkrper"/>
              <w:rPr>
                <w:rFonts w:cstheme="minorHAnsi"/>
                <w:lang w:val="en-US"/>
              </w:rPr>
            </w:pPr>
            <w:r w:rsidRPr="002E4D67">
              <w:rPr>
                <w:rStyle w:val="Fett"/>
                <w:rFonts w:cstheme="minorHAnsi"/>
                <w:lang w:val="en-US"/>
              </w:rPr>
              <w:t>not affect essential contractual rights</w:t>
            </w:r>
            <w:r w:rsidRPr="002E4D67">
              <w:rPr>
                <w:rFonts w:cstheme="minorHAnsi"/>
                <w:lang w:val="en-US"/>
              </w:rPr>
              <w:t>, such as confirmed bookings, ongoing staking periods, or the fundamental utility of the token, and</w:t>
            </w:r>
          </w:p>
          <w:p w14:paraId="1616EA74" w14:textId="77777777" w:rsidR="001073C5" w:rsidRPr="002E4D67" w:rsidRDefault="001073C5" w:rsidP="001073C5">
            <w:pPr>
              <w:pStyle w:val="Textkrper"/>
              <w:rPr>
                <w:rFonts w:cstheme="minorHAnsi"/>
                <w:lang w:val="en-US"/>
              </w:rPr>
            </w:pPr>
            <w:r w:rsidRPr="002E4D67">
              <w:rPr>
                <w:rFonts w:cstheme="minorHAnsi"/>
                <w:lang w:val="en-US"/>
              </w:rPr>
              <w:t xml:space="preserve">be </w:t>
            </w:r>
            <w:r w:rsidRPr="002E4D67">
              <w:rPr>
                <w:rStyle w:val="Fett"/>
                <w:rFonts w:cstheme="minorHAnsi"/>
                <w:lang w:val="en-US"/>
              </w:rPr>
              <w:t>communicated transparently and in advance</w:t>
            </w:r>
            <w:r w:rsidRPr="002E4D67">
              <w:rPr>
                <w:rFonts w:cstheme="minorHAnsi"/>
                <w:lang w:val="en-US"/>
              </w:rPr>
              <w:t xml:space="preserve"> through official WYND communication channels (including the WYND website and investor notifications).</w:t>
            </w:r>
          </w:p>
          <w:p w14:paraId="082D2362" w14:textId="77777777" w:rsidR="001073C5" w:rsidRPr="002E4D67" w:rsidRDefault="001073C5" w:rsidP="001073C5">
            <w:pPr>
              <w:pStyle w:val="Textkrper"/>
              <w:rPr>
                <w:rFonts w:cstheme="minorHAnsi"/>
                <w:lang w:val="en-US"/>
              </w:rPr>
            </w:pPr>
            <w:r w:rsidRPr="002E4D67">
              <w:rPr>
                <w:rFonts w:cstheme="minorHAnsi"/>
                <w:lang w:val="en-US"/>
              </w:rPr>
              <w:t xml:space="preserve">Where a modification would </w:t>
            </w:r>
            <w:r w:rsidRPr="002E4D67">
              <w:rPr>
                <w:rStyle w:val="Fett"/>
                <w:rFonts w:cstheme="minorHAnsi"/>
                <w:lang w:val="en-US"/>
              </w:rPr>
              <w:t>materially and adversely affect</w:t>
            </w:r>
            <w:r w:rsidRPr="002E4D67">
              <w:rPr>
                <w:rFonts w:cstheme="minorHAnsi"/>
                <w:lang w:val="en-US"/>
              </w:rPr>
              <w:t xml:space="preserve"> the position of a token holder, WYND Capital GmbH shall obtain the </w:t>
            </w:r>
            <w:r w:rsidRPr="002E4D67">
              <w:rPr>
                <w:rStyle w:val="Fett"/>
                <w:rFonts w:cstheme="minorHAnsi"/>
                <w:lang w:val="en-US"/>
              </w:rPr>
              <w:t>explicit prior consent</w:t>
            </w:r>
            <w:r w:rsidRPr="002E4D67">
              <w:rPr>
                <w:rFonts w:cstheme="minorHAnsi"/>
                <w:lang w:val="en-US"/>
              </w:rPr>
              <w:t xml:space="preserve"> of the affected token holder before implementation.</w:t>
            </w:r>
          </w:p>
          <w:p w14:paraId="46B325C4" w14:textId="77777777" w:rsidR="001073C5" w:rsidRPr="002E4D67" w:rsidRDefault="001073C5" w:rsidP="001073C5">
            <w:pPr>
              <w:pStyle w:val="Textkrper"/>
              <w:rPr>
                <w:rFonts w:cstheme="minorHAnsi"/>
                <w:lang w:val="en-US"/>
              </w:rPr>
            </w:pPr>
            <w:r w:rsidRPr="002E4D67">
              <w:rPr>
                <w:rFonts w:cstheme="minorHAnsi"/>
                <w:lang w:val="en-US"/>
              </w:rPr>
              <w:t>All modifications will be documented, time-stamped, and published in an updated version of the WYND Terms of Use or Whitepaper, ensuring full transparency and traceability.</w:t>
            </w:r>
          </w:p>
          <w:p w14:paraId="61BCAEC3" w14:textId="77777777" w:rsidR="001073C5" w:rsidRPr="002E4D67" w:rsidRDefault="001073C5" w:rsidP="001073C5">
            <w:pPr>
              <w:pStyle w:val="Textkrper"/>
              <w:rPr>
                <w:rFonts w:cstheme="minorHAnsi"/>
                <w:lang w:val="en-US"/>
              </w:rPr>
            </w:pPr>
          </w:p>
        </w:tc>
      </w:tr>
      <w:tr w:rsidR="001073C5" w:rsidRPr="002E4D67" w14:paraId="1589EC4C" w14:textId="77777777" w:rsidTr="00D64090">
        <w:tc>
          <w:tcPr>
            <w:tcW w:w="1985" w:type="dxa"/>
          </w:tcPr>
          <w:p w14:paraId="1E8DE297" w14:textId="50A90E83" w:rsidR="001073C5" w:rsidRPr="002E4D67" w:rsidRDefault="001073C5" w:rsidP="001073C5">
            <w:pPr>
              <w:pStyle w:val="berschrift1"/>
              <w:keepNext w:val="0"/>
              <w:keepLines w:val="0"/>
              <w:rPr>
                <w:lang w:val="en-US"/>
              </w:rPr>
            </w:pPr>
            <w:bookmarkStart w:id="415" w:name="_Toc212017996"/>
            <w:bookmarkStart w:id="416" w:name="_Toc213164228"/>
            <w:bookmarkStart w:id="417" w:name="_Toc213179208"/>
            <w:r w:rsidRPr="002E4D67">
              <w:rPr>
                <w:lang w:val="en-US"/>
              </w:rPr>
              <w:t>G.4 Future public offers</w:t>
            </w:r>
            <w:bookmarkEnd w:id="415"/>
            <w:bookmarkEnd w:id="416"/>
            <w:bookmarkEnd w:id="417"/>
          </w:p>
        </w:tc>
        <w:tc>
          <w:tcPr>
            <w:tcW w:w="6371" w:type="dxa"/>
          </w:tcPr>
          <w:p w14:paraId="443A8EED" w14:textId="77777777" w:rsidR="001073C5" w:rsidRPr="002E4D67" w:rsidRDefault="001073C5" w:rsidP="001073C5">
            <w:pPr>
              <w:pStyle w:val="Textkrper"/>
              <w:rPr>
                <w:rFonts w:cstheme="minorHAnsi"/>
                <w:lang w:val="en-US"/>
              </w:rPr>
            </w:pPr>
            <w:r w:rsidRPr="002E4D67">
              <w:rPr>
                <w:rFonts w:cstheme="minorHAnsi"/>
                <w:lang w:val="en-US"/>
              </w:rPr>
              <w:t>Not applicable.</w:t>
            </w:r>
          </w:p>
        </w:tc>
      </w:tr>
      <w:tr w:rsidR="001073C5" w:rsidRPr="002E4D67" w14:paraId="4B184061" w14:textId="77777777" w:rsidTr="00F97FF8">
        <w:tc>
          <w:tcPr>
            <w:tcW w:w="1985" w:type="dxa"/>
          </w:tcPr>
          <w:p w14:paraId="583F1376" w14:textId="50402EA8" w:rsidR="001073C5" w:rsidRPr="002E4D67" w:rsidRDefault="001073C5" w:rsidP="001073C5">
            <w:pPr>
              <w:pStyle w:val="berschrift1"/>
              <w:keepNext w:val="0"/>
              <w:keepLines w:val="0"/>
              <w:rPr>
                <w:lang w:val="en-US"/>
              </w:rPr>
            </w:pPr>
            <w:bookmarkStart w:id="418" w:name="_Toc212017998"/>
            <w:bookmarkStart w:id="419" w:name="_Toc213164229"/>
            <w:bookmarkStart w:id="420" w:name="_Toc213179209"/>
            <w:r w:rsidRPr="002E4D67">
              <w:rPr>
                <w:lang w:val="en-US"/>
              </w:rPr>
              <w:lastRenderedPageBreak/>
              <w:t>G.5 Issuer retained crypto-assets</w:t>
            </w:r>
            <w:bookmarkEnd w:id="418"/>
            <w:bookmarkEnd w:id="419"/>
            <w:bookmarkEnd w:id="420"/>
          </w:p>
        </w:tc>
        <w:tc>
          <w:tcPr>
            <w:tcW w:w="6371" w:type="dxa"/>
          </w:tcPr>
          <w:p w14:paraId="577FB902" w14:textId="77777777" w:rsidR="001073C5" w:rsidRPr="002E4D67" w:rsidRDefault="001073C5" w:rsidP="001073C5">
            <w:pPr>
              <w:pStyle w:val="StandardWeb"/>
              <w:rPr>
                <w:rFonts w:cstheme="minorHAnsi"/>
                <w:szCs w:val="20"/>
                <w:lang w:val="en-US"/>
              </w:rPr>
            </w:pPr>
            <w:bookmarkStart w:id="421" w:name="_cp_change_909"/>
            <w:r w:rsidRPr="002E4D67">
              <w:rPr>
                <w:rFonts w:cstheme="minorHAnsi"/>
                <w:szCs w:val="20"/>
                <w:lang w:val="en-US"/>
              </w:rPr>
              <w:t xml:space="preserve">At the time of this submission, </w:t>
            </w:r>
            <w:r w:rsidRPr="002E4D67">
              <w:rPr>
                <w:rStyle w:val="Fett"/>
                <w:rFonts w:cstheme="minorHAnsi"/>
                <w:szCs w:val="20"/>
                <w:lang w:val="en-US"/>
              </w:rPr>
              <w:t>no additional public offerings</w:t>
            </w:r>
            <w:r w:rsidRPr="002E4D67">
              <w:rPr>
                <w:rFonts w:cstheme="minorHAnsi"/>
                <w:szCs w:val="20"/>
                <w:lang w:val="en-US"/>
              </w:rPr>
              <w:t xml:space="preserve"> of the </w:t>
            </w:r>
            <w:r w:rsidRPr="002E4D67">
              <w:rPr>
                <w:rStyle w:val="Fett"/>
                <w:rFonts w:cstheme="minorHAnsi"/>
                <w:szCs w:val="20"/>
                <w:lang w:val="en-US"/>
              </w:rPr>
              <w:t>WYND Utility Token ($WYND)</w:t>
            </w:r>
            <w:r w:rsidRPr="002E4D67">
              <w:rPr>
                <w:rFonts w:cstheme="minorHAnsi"/>
                <w:szCs w:val="20"/>
                <w:lang w:val="en-US"/>
              </w:rPr>
              <w:t xml:space="preserve"> are planned or authorized beyond the current public sale.</w:t>
            </w:r>
          </w:p>
          <w:p w14:paraId="59E95917" w14:textId="77777777" w:rsidR="001073C5" w:rsidRPr="002E4D67" w:rsidRDefault="001073C5" w:rsidP="001073C5">
            <w:pPr>
              <w:pStyle w:val="StandardWeb"/>
              <w:rPr>
                <w:rFonts w:cstheme="minorHAnsi"/>
                <w:szCs w:val="20"/>
                <w:lang w:val="en-US"/>
              </w:rPr>
            </w:pPr>
            <w:r w:rsidRPr="002E4D67">
              <w:rPr>
                <w:rFonts w:cstheme="minorHAnsi"/>
                <w:szCs w:val="20"/>
                <w:lang w:val="en-US"/>
              </w:rPr>
              <w:t xml:space="preserve">The total token supply of </w:t>
            </w:r>
            <w:r w:rsidRPr="002E4D67">
              <w:rPr>
                <w:rStyle w:val="Fett"/>
                <w:rFonts w:cstheme="minorHAnsi"/>
                <w:szCs w:val="20"/>
                <w:lang w:val="en-US"/>
              </w:rPr>
              <w:t>100,000,000 $WYND</w:t>
            </w:r>
            <w:r w:rsidRPr="002E4D67">
              <w:rPr>
                <w:rFonts w:cstheme="minorHAnsi"/>
                <w:szCs w:val="20"/>
                <w:lang w:val="en-US"/>
              </w:rPr>
              <w:t xml:space="preserve"> is </w:t>
            </w:r>
            <w:r w:rsidRPr="002E4D67">
              <w:rPr>
                <w:rStyle w:val="Fett"/>
                <w:rFonts w:cstheme="minorHAnsi"/>
                <w:szCs w:val="20"/>
                <w:lang w:val="en-US"/>
              </w:rPr>
              <w:t>fixed and final</w:t>
            </w:r>
            <w:r w:rsidRPr="002E4D67">
              <w:rPr>
                <w:rFonts w:cstheme="minorHAnsi"/>
                <w:szCs w:val="20"/>
                <w:lang w:val="en-US"/>
              </w:rPr>
              <w:t>.</w:t>
            </w:r>
            <w:r w:rsidRPr="002E4D67">
              <w:rPr>
                <w:rFonts w:cstheme="minorHAnsi"/>
                <w:szCs w:val="20"/>
                <w:lang w:val="en-US"/>
              </w:rPr>
              <w:br/>
              <w:t>No further issuance, minting, or creation of additional tokens is technically or contractually possible under the current smart-contract structure.</w:t>
            </w:r>
          </w:p>
          <w:p w14:paraId="680BBF9D" w14:textId="77777777" w:rsidR="001073C5" w:rsidRPr="002E4D67" w:rsidRDefault="001073C5" w:rsidP="001073C5">
            <w:pPr>
              <w:pStyle w:val="StandardWeb"/>
              <w:rPr>
                <w:rFonts w:cstheme="minorHAnsi"/>
                <w:szCs w:val="20"/>
                <w:lang w:val="en-US"/>
              </w:rPr>
            </w:pPr>
            <w:r w:rsidRPr="002E4D67">
              <w:rPr>
                <w:rFonts w:cstheme="minorHAnsi"/>
                <w:szCs w:val="20"/>
                <w:lang w:val="en-US"/>
              </w:rPr>
              <w:t xml:space="preserve">Should WYND Capital GmbH decide in the future to conduct a </w:t>
            </w:r>
            <w:r w:rsidRPr="002E4D67">
              <w:rPr>
                <w:rStyle w:val="Fett"/>
                <w:rFonts w:cstheme="minorHAnsi"/>
                <w:szCs w:val="20"/>
                <w:lang w:val="en-US"/>
              </w:rPr>
              <w:t>new public offering</w:t>
            </w:r>
            <w:r w:rsidRPr="002E4D67">
              <w:rPr>
                <w:rFonts w:cstheme="minorHAnsi"/>
                <w:szCs w:val="20"/>
                <w:lang w:val="en-US"/>
              </w:rPr>
              <w:t xml:space="preserve"> or establish a </w:t>
            </w:r>
            <w:r w:rsidRPr="002E4D67">
              <w:rPr>
                <w:rStyle w:val="Fett"/>
                <w:rFonts w:cstheme="minorHAnsi"/>
                <w:szCs w:val="20"/>
                <w:lang w:val="en-US"/>
              </w:rPr>
              <w:t>secondary token sale</w:t>
            </w:r>
            <w:r w:rsidRPr="002E4D67">
              <w:rPr>
                <w:rFonts w:cstheme="minorHAnsi"/>
                <w:szCs w:val="20"/>
                <w:lang w:val="en-US"/>
              </w:rPr>
              <w:t>, such offering would:</w:t>
            </w:r>
          </w:p>
          <w:p w14:paraId="25C2D855" w14:textId="77777777" w:rsidR="001073C5" w:rsidRPr="002E4D67" w:rsidRDefault="001073C5" w:rsidP="001073C5">
            <w:pPr>
              <w:pStyle w:val="StandardWeb"/>
              <w:numPr>
                <w:ilvl w:val="0"/>
                <w:numId w:val="38"/>
              </w:numPr>
              <w:overflowPunct/>
              <w:autoSpaceDE/>
              <w:autoSpaceDN/>
              <w:adjustRightInd/>
              <w:spacing w:before="100" w:beforeAutospacing="1" w:after="100" w:afterAutospacing="1" w:line="240" w:lineRule="auto"/>
              <w:jc w:val="left"/>
              <w:textAlignment w:val="auto"/>
              <w:rPr>
                <w:rFonts w:cstheme="minorHAnsi"/>
                <w:szCs w:val="20"/>
                <w:lang w:val="en-US"/>
              </w:rPr>
            </w:pPr>
            <w:r w:rsidRPr="002E4D67">
              <w:rPr>
                <w:rFonts w:cstheme="minorHAnsi"/>
                <w:szCs w:val="20"/>
                <w:lang w:val="en-US"/>
              </w:rPr>
              <w:t xml:space="preserve">be </w:t>
            </w:r>
            <w:r w:rsidRPr="002E4D67">
              <w:rPr>
                <w:rStyle w:val="Fett"/>
                <w:rFonts w:cstheme="minorHAnsi"/>
                <w:szCs w:val="20"/>
                <w:lang w:val="en-US"/>
              </w:rPr>
              <w:t>subject to prior BaFin notification and approval</w:t>
            </w:r>
            <w:r w:rsidRPr="002E4D67">
              <w:rPr>
                <w:rFonts w:cstheme="minorHAnsi"/>
                <w:szCs w:val="20"/>
                <w:lang w:val="en-US"/>
              </w:rPr>
              <w:t xml:space="preserve"> under MiCAR,</w:t>
            </w:r>
          </w:p>
          <w:p w14:paraId="3EF1F6BE" w14:textId="77777777" w:rsidR="001073C5" w:rsidRPr="002E4D67" w:rsidRDefault="001073C5" w:rsidP="001073C5">
            <w:pPr>
              <w:pStyle w:val="StandardWeb"/>
              <w:numPr>
                <w:ilvl w:val="0"/>
                <w:numId w:val="38"/>
              </w:numPr>
              <w:overflowPunct/>
              <w:autoSpaceDE/>
              <w:autoSpaceDN/>
              <w:adjustRightInd/>
              <w:spacing w:before="100" w:beforeAutospacing="1" w:after="100" w:afterAutospacing="1" w:line="240" w:lineRule="auto"/>
              <w:jc w:val="left"/>
              <w:textAlignment w:val="auto"/>
              <w:rPr>
                <w:rFonts w:cstheme="minorHAnsi"/>
                <w:szCs w:val="20"/>
                <w:lang w:val="en-US"/>
              </w:rPr>
            </w:pPr>
            <w:r w:rsidRPr="002E4D67">
              <w:rPr>
                <w:rFonts w:cstheme="minorHAnsi"/>
                <w:szCs w:val="20"/>
                <w:lang w:val="en-US"/>
              </w:rPr>
              <w:t xml:space="preserve">take place </w:t>
            </w:r>
            <w:r w:rsidRPr="002E4D67">
              <w:rPr>
                <w:rStyle w:val="Fett"/>
                <w:rFonts w:cstheme="minorHAnsi"/>
                <w:szCs w:val="20"/>
                <w:lang w:val="en-US"/>
              </w:rPr>
              <w:t>only within the remaining unallocated token pool</w:t>
            </w:r>
            <w:r w:rsidRPr="002E4D67">
              <w:rPr>
                <w:rFonts w:cstheme="minorHAnsi"/>
                <w:szCs w:val="20"/>
                <w:lang w:val="en-US"/>
              </w:rPr>
              <w:t>, and</w:t>
            </w:r>
          </w:p>
          <w:p w14:paraId="6393A3E6" w14:textId="77777777" w:rsidR="001073C5" w:rsidRPr="002E4D67" w:rsidRDefault="001073C5" w:rsidP="001073C5">
            <w:pPr>
              <w:pStyle w:val="StandardWeb"/>
              <w:numPr>
                <w:ilvl w:val="0"/>
                <w:numId w:val="38"/>
              </w:numPr>
              <w:overflowPunct/>
              <w:autoSpaceDE/>
              <w:autoSpaceDN/>
              <w:adjustRightInd/>
              <w:spacing w:before="100" w:beforeAutospacing="1" w:after="100" w:afterAutospacing="1" w:line="240" w:lineRule="auto"/>
              <w:jc w:val="left"/>
              <w:textAlignment w:val="auto"/>
              <w:rPr>
                <w:rFonts w:cstheme="minorHAnsi"/>
                <w:szCs w:val="20"/>
                <w:lang w:val="en-US"/>
              </w:rPr>
            </w:pPr>
            <w:r w:rsidRPr="002E4D67">
              <w:rPr>
                <w:rFonts w:cstheme="minorHAnsi"/>
                <w:szCs w:val="20"/>
                <w:lang w:val="en-US"/>
              </w:rPr>
              <w:t>comply fully with all applicable EU and German regulatory requirements.</w:t>
            </w:r>
          </w:p>
          <w:p w14:paraId="501A324A" w14:textId="7FA032CC" w:rsidR="001073C5" w:rsidRPr="002E4D67" w:rsidRDefault="001073C5" w:rsidP="001073C5">
            <w:pPr>
              <w:pStyle w:val="StandardWeb"/>
              <w:rPr>
                <w:rFonts w:cstheme="minorHAnsi"/>
                <w:szCs w:val="20"/>
                <w:lang w:val="en-US"/>
              </w:rPr>
            </w:pPr>
            <w:r w:rsidRPr="002E4D67">
              <w:rPr>
                <w:rFonts w:cstheme="minorHAnsi"/>
                <w:szCs w:val="20"/>
                <w:lang w:val="en-US"/>
              </w:rPr>
              <w:t xml:space="preserve">As of today, WYND Capital GmbH has </w:t>
            </w:r>
            <w:r w:rsidRPr="002E4D67">
              <w:rPr>
                <w:rStyle w:val="Fett"/>
                <w:rFonts w:cstheme="minorHAnsi"/>
                <w:szCs w:val="20"/>
                <w:lang w:val="en-US"/>
              </w:rPr>
              <w:t>no intention</w:t>
            </w:r>
            <w:r w:rsidRPr="002E4D67">
              <w:rPr>
                <w:rFonts w:cstheme="minorHAnsi"/>
                <w:szCs w:val="20"/>
                <w:lang w:val="en-US"/>
              </w:rPr>
              <w:t xml:space="preserve"> to initiate any additional token offerings or public distributions after completion of the current sale.</w:t>
            </w:r>
          </w:p>
          <w:bookmarkEnd w:id="421"/>
          <w:p w14:paraId="72E15F77" w14:textId="77777777" w:rsidR="001073C5" w:rsidRPr="002E4D67" w:rsidRDefault="001073C5" w:rsidP="001073C5">
            <w:pPr>
              <w:pStyle w:val="Textkrper"/>
              <w:rPr>
                <w:rFonts w:cstheme="minorHAnsi"/>
                <w:lang w:val="en-US"/>
              </w:rPr>
            </w:pPr>
          </w:p>
        </w:tc>
      </w:tr>
      <w:tr w:rsidR="001073C5" w:rsidRPr="002E4D67" w14:paraId="1F197D05" w14:textId="77777777" w:rsidTr="00D64090">
        <w:tc>
          <w:tcPr>
            <w:tcW w:w="1985" w:type="dxa"/>
          </w:tcPr>
          <w:p w14:paraId="24C7E7DE" w14:textId="0E0C28CA" w:rsidR="001073C5" w:rsidRPr="002E4D67" w:rsidRDefault="001073C5" w:rsidP="001073C5">
            <w:pPr>
              <w:pStyle w:val="berschrift1"/>
              <w:keepNext w:val="0"/>
              <w:keepLines w:val="0"/>
              <w:rPr>
                <w:lang w:val="en-US"/>
              </w:rPr>
            </w:pPr>
            <w:bookmarkStart w:id="422" w:name="_Toc212018000"/>
            <w:bookmarkStart w:id="423" w:name="_Toc213164230"/>
            <w:bookmarkStart w:id="424" w:name="_Toc213179210"/>
            <w:r w:rsidRPr="002E4D67">
              <w:rPr>
                <w:lang w:val="en-US"/>
              </w:rPr>
              <w:t>G.6 Utility token classification</w:t>
            </w:r>
            <w:bookmarkEnd w:id="422"/>
            <w:bookmarkEnd w:id="423"/>
            <w:bookmarkEnd w:id="424"/>
          </w:p>
        </w:tc>
        <w:tc>
          <w:tcPr>
            <w:tcW w:w="6371" w:type="dxa"/>
          </w:tcPr>
          <w:p w14:paraId="2416F09D" w14:textId="6E33A686" w:rsidR="001073C5" w:rsidRPr="002E4D67" w:rsidRDefault="00BF0BE4" w:rsidP="001073C5">
            <w:pPr>
              <w:pStyle w:val="Textkrper"/>
              <w:rPr>
                <w:rFonts w:cstheme="minorHAnsi"/>
                <w:lang w:val="en-US"/>
              </w:rPr>
            </w:pPr>
            <w:r>
              <w:t>Yes — the crypto-asset is a utility token within the meaning of MiCAR</w:t>
            </w:r>
          </w:p>
        </w:tc>
      </w:tr>
      <w:tr w:rsidR="001073C5" w:rsidRPr="002E4D67" w14:paraId="386B6B5F" w14:textId="77777777" w:rsidTr="00D64090">
        <w:tc>
          <w:tcPr>
            <w:tcW w:w="1985" w:type="dxa"/>
          </w:tcPr>
          <w:p w14:paraId="71190FB8" w14:textId="4EDC14EC" w:rsidR="001073C5" w:rsidRPr="002E4D67" w:rsidRDefault="001073C5" w:rsidP="001073C5">
            <w:pPr>
              <w:pStyle w:val="berschrift1"/>
              <w:keepNext w:val="0"/>
              <w:keepLines w:val="0"/>
              <w:rPr>
                <w:lang w:val="en-US"/>
              </w:rPr>
            </w:pPr>
            <w:bookmarkStart w:id="425" w:name="_Toc212018002"/>
            <w:bookmarkStart w:id="426" w:name="_Toc213164231"/>
            <w:bookmarkStart w:id="427" w:name="_Toc213179211"/>
            <w:r w:rsidRPr="002E4D67">
              <w:rPr>
                <w:lang w:val="en-US"/>
              </w:rPr>
              <w:t>G.7 Key features of goods/services of utility tokens</w:t>
            </w:r>
            <w:bookmarkEnd w:id="425"/>
            <w:bookmarkEnd w:id="426"/>
            <w:bookmarkEnd w:id="427"/>
          </w:p>
        </w:tc>
        <w:tc>
          <w:tcPr>
            <w:tcW w:w="6371" w:type="dxa"/>
          </w:tcPr>
          <w:p w14:paraId="697D0A3D" w14:textId="77777777" w:rsidR="001073C5" w:rsidRPr="002E4D67" w:rsidRDefault="001073C5" w:rsidP="001073C5">
            <w:pPr>
              <w:pStyle w:val="Textkrper"/>
              <w:rPr>
                <w:rFonts w:cstheme="minorHAnsi"/>
                <w:lang w:val="en-US"/>
              </w:rPr>
            </w:pPr>
            <w:r w:rsidRPr="002E4D67">
              <w:rPr>
                <w:rFonts w:cstheme="minorHAnsi"/>
                <w:lang w:val="en-US"/>
              </w:rPr>
              <w:t xml:space="preserve">The </w:t>
            </w:r>
            <w:r w:rsidRPr="002E4D67">
              <w:rPr>
                <w:rStyle w:val="Fett"/>
                <w:rFonts w:cstheme="minorHAnsi"/>
                <w:lang w:val="en-US"/>
              </w:rPr>
              <w:t>$WYND Utility Token</w:t>
            </w:r>
            <w:r w:rsidRPr="002E4D67">
              <w:rPr>
                <w:rFonts w:cstheme="minorHAnsi"/>
                <w:lang w:val="en-US"/>
              </w:rPr>
              <w:t xml:space="preserve"> provides holders with </w:t>
            </w:r>
            <w:r w:rsidRPr="002E4D67">
              <w:rPr>
                <w:rStyle w:val="Fett"/>
                <w:rFonts w:cstheme="minorHAnsi"/>
                <w:lang w:val="en-US"/>
              </w:rPr>
              <w:t>digital access and payment functionality</w:t>
            </w:r>
            <w:r w:rsidRPr="002E4D67">
              <w:rPr>
                <w:rFonts w:cstheme="minorHAnsi"/>
                <w:lang w:val="en-US"/>
              </w:rPr>
              <w:t xml:space="preserve"> for luxury travel, lifestyle, and community services within the WYND ecosystem.</w:t>
            </w:r>
            <w:r w:rsidRPr="002E4D67">
              <w:rPr>
                <w:rFonts w:cstheme="minorHAnsi"/>
                <w:lang w:val="en-US"/>
              </w:rPr>
              <w:br/>
              <w:t xml:space="preserve">It enables the booking, payment, and participation in curated real-world experiences operated or facilitated by </w:t>
            </w:r>
            <w:r w:rsidRPr="002E4D67">
              <w:rPr>
                <w:rStyle w:val="Fett"/>
                <w:rFonts w:cstheme="minorHAnsi"/>
                <w:lang w:val="en-US"/>
              </w:rPr>
              <w:t>WYND Capital GmbH</w:t>
            </w:r>
            <w:r w:rsidRPr="002E4D67">
              <w:rPr>
                <w:rFonts w:cstheme="minorHAnsi"/>
                <w:lang w:val="en-US"/>
              </w:rPr>
              <w:t xml:space="preserve"> and its affiliated partners.</w:t>
            </w:r>
          </w:p>
          <w:p w14:paraId="7CFEC4DC" w14:textId="77777777" w:rsidR="001073C5" w:rsidRPr="002E4D67" w:rsidRDefault="001073C5" w:rsidP="001073C5">
            <w:pPr>
              <w:pStyle w:val="Textkrper"/>
              <w:rPr>
                <w:rFonts w:cstheme="minorHAnsi"/>
                <w:bCs/>
                <w:lang w:val="en-US"/>
              </w:rPr>
            </w:pPr>
            <w:r w:rsidRPr="002E4D67">
              <w:rPr>
                <w:rStyle w:val="Fett"/>
                <w:rFonts w:cstheme="minorHAnsi"/>
                <w:lang w:val="en-US"/>
              </w:rPr>
              <w:t>1. Luxury Travel &amp; Experience Services</w:t>
            </w:r>
          </w:p>
          <w:p w14:paraId="54D3320B" w14:textId="77777777" w:rsidR="001073C5" w:rsidRPr="002E4D67" w:rsidRDefault="001073C5" w:rsidP="001073C5">
            <w:pPr>
              <w:pStyle w:val="Textkrper"/>
              <w:rPr>
                <w:rFonts w:cstheme="minorHAnsi"/>
                <w:lang w:val="en-US"/>
              </w:rPr>
            </w:pPr>
            <w:r w:rsidRPr="002E4D67">
              <w:rPr>
                <w:rStyle w:val="Fett"/>
                <w:rFonts w:cstheme="minorHAnsi"/>
                <w:lang w:val="en-US"/>
              </w:rPr>
              <w:t>a) WYND Discovery Weeks (Operational)</w:t>
            </w:r>
          </w:p>
          <w:p w14:paraId="4533AF3B" w14:textId="6695236E" w:rsidR="001073C5" w:rsidRPr="002E4D67" w:rsidRDefault="001073C5" w:rsidP="001073C5">
            <w:pPr>
              <w:pStyle w:val="Textkrper"/>
              <w:rPr>
                <w:rFonts w:cstheme="minorHAnsi"/>
                <w:lang w:val="en-US"/>
              </w:rPr>
            </w:pPr>
            <w:r w:rsidRPr="002E4D67">
              <w:rPr>
                <w:rFonts w:cstheme="minorHAnsi"/>
                <w:lang w:val="en-US"/>
              </w:rPr>
              <w:t xml:space="preserve">Boutique-format yacht voyages currently operating in the </w:t>
            </w:r>
            <w:r w:rsidRPr="002E4D67">
              <w:rPr>
                <w:rStyle w:val="Fett"/>
                <w:rFonts w:cstheme="minorHAnsi"/>
                <w:lang w:val="en-US"/>
              </w:rPr>
              <w:t>Red Sea</w:t>
            </w:r>
            <w:r w:rsidRPr="002E4D67">
              <w:rPr>
                <w:rFonts w:cstheme="minorHAnsi"/>
                <w:lang w:val="en-US"/>
              </w:rPr>
              <w:t xml:space="preserve">, offering 7-day curated trips with up to </w:t>
            </w:r>
            <w:r w:rsidRPr="002E4D67">
              <w:rPr>
                <w:rStyle w:val="Fett"/>
                <w:rFonts w:cstheme="minorHAnsi"/>
                <w:lang w:val="en-US"/>
              </w:rPr>
              <w:t>22 guests</w:t>
            </w:r>
            <w:r w:rsidRPr="002E4D67">
              <w:rPr>
                <w:rFonts w:cstheme="minorHAnsi"/>
                <w:lang w:val="en-US"/>
              </w:rPr>
              <w:t xml:space="preserve"> and </w:t>
            </w:r>
            <w:r w:rsidRPr="002E4D67">
              <w:rPr>
                <w:rStyle w:val="Fett"/>
                <w:rFonts w:cstheme="minorHAnsi"/>
                <w:lang w:val="en-US"/>
              </w:rPr>
              <w:t>13 crew members</w:t>
            </w:r>
            <w:r w:rsidRPr="002E4D67">
              <w:rPr>
                <w:rFonts w:cstheme="minorHAnsi"/>
                <w:lang w:val="en-US"/>
              </w:rPr>
              <w:t>.</w:t>
            </w:r>
          </w:p>
          <w:p w14:paraId="6AD63F1A" w14:textId="77777777" w:rsidR="001073C5" w:rsidRPr="002E4D67" w:rsidRDefault="001073C5" w:rsidP="001073C5">
            <w:pPr>
              <w:pStyle w:val="Textkrper"/>
              <w:rPr>
                <w:rFonts w:cstheme="minorHAnsi"/>
                <w:lang w:val="en-US"/>
              </w:rPr>
            </w:pPr>
            <w:r w:rsidRPr="002E4D67">
              <w:rPr>
                <w:rFonts w:cstheme="minorHAnsi"/>
                <w:lang w:val="en-US"/>
              </w:rPr>
              <w:lastRenderedPageBreak/>
              <w:t>Includes accommodation in 6 Superior Suites, 4 Junior Suites, and 1 Master Suite.</w:t>
            </w:r>
          </w:p>
          <w:p w14:paraId="383FAC07" w14:textId="77777777" w:rsidR="001073C5" w:rsidRPr="002E4D67" w:rsidRDefault="001073C5" w:rsidP="001073C5">
            <w:pPr>
              <w:pStyle w:val="Textkrper"/>
              <w:rPr>
                <w:rFonts w:cstheme="minorHAnsi"/>
                <w:lang w:val="en-US"/>
              </w:rPr>
            </w:pPr>
            <w:r w:rsidRPr="002E4D67">
              <w:rPr>
                <w:rFonts w:cstheme="minorHAnsi"/>
                <w:lang w:val="en-US"/>
              </w:rPr>
              <w:t>Immediate availability (since 2023).</w:t>
            </w:r>
          </w:p>
          <w:p w14:paraId="7DB74B73" w14:textId="77777777" w:rsidR="001073C5" w:rsidRPr="002E4D67" w:rsidRDefault="001073C5" w:rsidP="001073C5">
            <w:pPr>
              <w:pStyle w:val="Textkrper"/>
              <w:rPr>
                <w:rFonts w:cstheme="minorHAnsi"/>
                <w:lang w:val="en-US"/>
              </w:rPr>
            </w:pPr>
            <w:r w:rsidRPr="002E4D67">
              <w:rPr>
                <w:rFonts w:cstheme="minorHAnsi"/>
                <w:lang w:val="en-US"/>
              </w:rPr>
              <w:t>Services include dining, water sports, kite-surfing options, and community networking events.</w:t>
            </w:r>
          </w:p>
          <w:p w14:paraId="7BD682D8" w14:textId="1685966D" w:rsidR="001073C5" w:rsidRPr="002E4D67" w:rsidRDefault="001073C5" w:rsidP="001073C5">
            <w:pPr>
              <w:pStyle w:val="Textkrper"/>
              <w:rPr>
                <w:rFonts w:cstheme="minorHAnsi"/>
                <w:lang w:val="en-US"/>
              </w:rPr>
            </w:pPr>
            <w:r w:rsidRPr="002E4D67">
              <w:rPr>
                <w:rStyle w:val="Fett"/>
                <w:rFonts w:cstheme="minorHAnsi"/>
                <w:lang w:val="en-US"/>
              </w:rPr>
              <w:t>b) WYND Yacht (from 2029)</w:t>
            </w:r>
          </w:p>
          <w:p w14:paraId="6F669346" w14:textId="77777777" w:rsidR="001073C5" w:rsidRPr="002E4D67" w:rsidRDefault="001073C5" w:rsidP="001073C5">
            <w:pPr>
              <w:pStyle w:val="Textkrper"/>
              <w:rPr>
                <w:rFonts w:cstheme="minorHAnsi"/>
                <w:lang w:val="en-US"/>
              </w:rPr>
            </w:pPr>
            <w:r w:rsidRPr="002E4D67">
              <w:rPr>
                <w:rFonts w:cstheme="minorHAnsi"/>
                <w:lang w:val="en-US"/>
              </w:rPr>
              <w:t xml:space="preserve">The first </w:t>
            </w:r>
            <w:r w:rsidRPr="002E4D67">
              <w:rPr>
                <w:rStyle w:val="Fett"/>
                <w:rFonts w:cstheme="minorHAnsi"/>
                <w:lang w:val="en-US"/>
              </w:rPr>
              <w:t>52-meter Superyacht</w:t>
            </w:r>
            <w:r w:rsidRPr="002E4D67">
              <w:rPr>
                <w:rFonts w:cstheme="minorHAnsi"/>
                <w:lang w:val="en-US"/>
              </w:rPr>
              <w:t xml:space="preserve"> will host </w:t>
            </w:r>
            <w:r w:rsidRPr="002E4D67">
              <w:rPr>
                <w:rStyle w:val="Fett"/>
                <w:rFonts w:cstheme="minorHAnsi"/>
                <w:lang w:val="en-US"/>
              </w:rPr>
              <w:t>12 guests</w:t>
            </w:r>
            <w:r w:rsidRPr="002E4D67">
              <w:rPr>
                <w:rFonts w:cstheme="minorHAnsi"/>
                <w:lang w:val="en-US"/>
              </w:rPr>
              <w:t xml:space="preserve"> and </w:t>
            </w:r>
            <w:r w:rsidRPr="002E4D67">
              <w:rPr>
                <w:rStyle w:val="Fett"/>
                <w:rFonts w:cstheme="minorHAnsi"/>
                <w:lang w:val="en-US"/>
              </w:rPr>
              <w:t>11 crew</w:t>
            </w:r>
            <w:r w:rsidRPr="002E4D67">
              <w:rPr>
                <w:rFonts w:cstheme="minorHAnsi"/>
                <w:lang w:val="en-US"/>
              </w:rPr>
              <w:t>, designed for full-charter, cabin booking, or curated community voyages.</w:t>
            </w:r>
          </w:p>
          <w:p w14:paraId="4D2CD98B" w14:textId="77777777" w:rsidR="001073C5" w:rsidRPr="002E4D67" w:rsidRDefault="001073C5" w:rsidP="001073C5">
            <w:pPr>
              <w:pStyle w:val="Textkrper"/>
              <w:rPr>
                <w:rFonts w:cstheme="minorHAnsi"/>
                <w:lang w:val="en-US"/>
              </w:rPr>
            </w:pPr>
            <w:r w:rsidRPr="002E4D67">
              <w:rPr>
                <w:rFonts w:cstheme="minorHAnsi"/>
                <w:lang w:val="en-US"/>
              </w:rPr>
              <w:t xml:space="preserve">Future deployment across </w:t>
            </w:r>
            <w:r w:rsidRPr="002E4D67">
              <w:rPr>
                <w:rStyle w:val="Fett"/>
                <w:rFonts w:cstheme="minorHAnsi"/>
                <w:lang w:val="en-US"/>
              </w:rPr>
              <w:t>Mediterranean, Caribbean, and Indian Ocean routes</w:t>
            </w:r>
            <w:r w:rsidRPr="002E4D67">
              <w:rPr>
                <w:rFonts w:cstheme="minorHAnsi"/>
                <w:lang w:val="en-US"/>
              </w:rPr>
              <w:t>, offering immersive “WYND Weeks.”</w:t>
            </w:r>
          </w:p>
          <w:p w14:paraId="4CA27FBD" w14:textId="77777777" w:rsidR="001073C5" w:rsidRPr="002E4D67" w:rsidRDefault="001073C5" w:rsidP="001073C5">
            <w:pPr>
              <w:pStyle w:val="Textkrper"/>
              <w:rPr>
                <w:rFonts w:cstheme="minorHAnsi"/>
                <w:lang w:val="en-US"/>
              </w:rPr>
            </w:pPr>
            <w:r w:rsidRPr="002E4D67">
              <w:rPr>
                <w:rStyle w:val="Fett"/>
                <w:rFonts w:cstheme="minorHAnsi"/>
                <w:lang w:val="en-US"/>
              </w:rPr>
              <w:t>c) WYND Concierge &amp; Experiences</w:t>
            </w:r>
          </w:p>
          <w:p w14:paraId="110B5220" w14:textId="77777777" w:rsidR="001073C5" w:rsidRPr="002E4D67" w:rsidRDefault="001073C5" w:rsidP="001073C5">
            <w:pPr>
              <w:pStyle w:val="Textkrper"/>
              <w:rPr>
                <w:rFonts w:cstheme="minorHAnsi"/>
                <w:lang w:val="en-US"/>
              </w:rPr>
            </w:pPr>
            <w:r w:rsidRPr="002E4D67">
              <w:rPr>
                <w:rFonts w:cstheme="minorHAnsi"/>
                <w:lang w:val="en-US"/>
              </w:rPr>
              <w:t>Lifestyle and travel concierge offering members exclusive access to partner resorts, events, and personalized experiences (both digital and in-person).</w:t>
            </w:r>
          </w:p>
          <w:p w14:paraId="7A5A4EA4" w14:textId="77777777" w:rsidR="001073C5" w:rsidRPr="002E4D67" w:rsidRDefault="001073C5" w:rsidP="001073C5">
            <w:pPr>
              <w:pStyle w:val="Textkrper"/>
              <w:rPr>
                <w:rFonts w:cstheme="minorHAnsi"/>
                <w:lang w:val="en-US"/>
              </w:rPr>
            </w:pPr>
            <w:r w:rsidRPr="002E4D67">
              <w:rPr>
                <w:rFonts w:cstheme="minorHAnsi"/>
                <w:lang w:val="en-US"/>
              </w:rPr>
              <w:t>Accessible through the WYND mobile and web platform.</w:t>
            </w:r>
          </w:p>
          <w:p w14:paraId="7587F28B" w14:textId="77777777" w:rsidR="001073C5" w:rsidRPr="002E4D67" w:rsidRDefault="001073C5" w:rsidP="001073C5">
            <w:pPr>
              <w:pStyle w:val="Textkrper"/>
              <w:rPr>
                <w:rFonts w:cstheme="minorHAnsi"/>
                <w:lang w:val="en-US"/>
              </w:rPr>
            </w:pPr>
            <w:r w:rsidRPr="002E4D67">
              <w:rPr>
                <w:rStyle w:val="Fett"/>
                <w:rFonts w:cstheme="minorHAnsi"/>
                <w:lang w:val="en-US"/>
              </w:rPr>
              <w:t>d) Future Extensions (Under Development)</w:t>
            </w:r>
          </w:p>
          <w:p w14:paraId="7B70C032" w14:textId="77777777" w:rsidR="001073C5" w:rsidRPr="002E4D67" w:rsidRDefault="001073C5" w:rsidP="001073C5">
            <w:pPr>
              <w:pStyle w:val="Textkrper"/>
              <w:rPr>
                <w:rFonts w:cstheme="minorHAnsi"/>
                <w:lang w:val="en-US"/>
              </w:rPr>
            </w:pPr>
            <w:r w:rsidRPr="002E4D67">
              <w:rPr>
                <w:rStyle w:val="Fett"/>
                <w:rFonts w:cstheme="minorHAnsi"/>
                <w:lang w:val="en-US"/>
              </w:rPr>
              <w:t>WYND Jet:</w:t>
            </w:r>
            <w:r w:rsidRPr="002E4D67">
              <w:rPr>
                <w:rFonts w:cstheme="minorHAnsi"/>
                <w:lang w:val="en-US"/>
              </w:rPr>
              <w:t xml:space="preserve"> Private jet transfers and curated aerial experiences.</w:t>
            </w:r>
          </w:p>
          <w:p w14:paraId="2F8A2830" w14:textId="77777777" w:rsidR="001073C5" w:rsidRPr="002E4D67" w:rsidRDefault="001073C5" w:rsidP="001073C5">
            <w:pPr>
              <w:pStyle w:val="Textkrper"/>
              <w:rPr>
                <w:rFonts w:cstheme="minorHAnsi"/>
                <w:lang w:val="en-US"/>
              </w:rPr>
            </w:pPr>
            <w:r w:rsidRPr="002E4D67">
              <w:rPr>
                <w:rStyle w:val="Fett"/>
                <w:rFonts w:cstheme="minorHAnsi"/>
                <w:lang w:val="en-US"/>
              </w:rPr>
              <w:t>WYND Heli:</w:t>
            </w:r>
            <w:r w:rsidRPr="002E4D67">
              <w:rPr>
                <w:rFonts w:cstheme="minorHAnsi"/>
                <w:lang w:val="en-US"/>
              </w:rPr>
              <w:t xml:space="preserve"> Helicopter transfers and regional charter services.</w:t>
            </w:r>
          </w:p>
          <w:p w14:paraId="16255AEA" w14:textId="04F5BFC9" w:rsidR="001073C5" w:rsidRPr="002E4D67" w:rsidRDefault="001073C5" w:rsidP="001073C5">
            <w:pPr>
              <w:pStyle w:val="Textkrper"/>
              <w:rPr>
                <w:rFonts w:cstheme="minorHAnsi"/>
                <w:lang w:val="en-US"/>
              </w:rPr>
            </w:pPr>
            <w:r w:rsidRPr="002E4D67">
              <w:rPr>
                <w:rFonts w:cstheme="minorHAnsi"/>
                <w:lang w:val="en-US"/>
              </w:rPr>
              <w:t>Both services are under development and will be integrated into the WYND ecosystem after the first yacht deployment.</w:t>
            </w:r>
          </w:p>
          <w:p w14:paraId="321D914F" w14:textId="77777777" w:rsidR="001073C5" w:rsidRPr="002E4D67" w:rsidRDefault="001073C5" w:rsidP="001073C5">
            <w:pPr>
              <w:pStyle w:val="Textkrper"/>
              <w:rPr>
                <w:rFonts w:cstheme="minorHAnsi"/>
                <w:bCs/>
                <w:lang w:val="en-US"/>
              </w:rPr>
            </w:pPr>
            <w:r w:rsidRPr="002E4D67">
              <w:rPr>
                <w:rStyle w:val="Fett"/>
                <w:rFonts w:cstheme="minorHAnsi"/>
                <w:lang w:val="en-US"/>
              </w:rPr>
              <w:t>2. Token-Based Access and Payment Functionality</w:t>
            </w:r>
          </w:p>
          <w:p w14:paraId="335C566C" w14:textId="77777777" w:rsidR="001073C5" w:rsidRPr="002E4D67" w:rsidRDefault="001073C5" w:rsidP="001073C5">
            <w:pPr>
              <w:pStyle w:val="Textkrper"/>
              <w:rPr>
                <w:rFonts w:cstheme="minorHAnsi"/>
                <w:lang w:val="en-US"/>
              </w:rPr>
            </w:pPr>
            <w:r w:rsidRPr="002E4D67">
              <w:rPr>
                <w:rFonts w:cstheme="minorHAnsi"/>
                <w:lang w:val="en-US"/>
              </w:rPr>
              <w:t xml:space="preserve">The $WYND token is the </w:t>
            </w:r>
            <w:r w:rsidRPr="002E4D67">
              <w:rPr>
                <w:rStyle w:val="Fett"/>
                <w:rFonts w:cstheme="minorHAnsi"/>
                <w:lang w:val="en-US"/>
              </w:rPr>
              <w:t>primary digital medium</w:t>
            </w:r>
            <w:r w:rsidRPr="002E4D67">
              <w:rPr>
                <w:rFonts w:cstheme="minorHAnsi"/>
                <w:lang w:val="en-US"/>
              </w:rPr>
              <w:t xml:space="preserve"> for booking and payment within the WYND ecosystem.</w:t>
            </w:r>
          </w:p>
          <w:p w14:paraId="786C3516" w14:textId="77777777" w:rsidR="001073C5" w:rsidRPr="002E4D67" w:rsidRDefault="001073C5" w:rsidP="001073C5">
            <w:pPr>
              <w:pStyle w:val="Textkrper"/>
              <w:rPr>
                <w:rFonts w:cstheme="minorHAnsi"/>
                <w:lang w:val="en-US"/>
              </w:rPr>
            </w:pPr>
            <w:r w:rsidRPr="002E4D67">
              <w:rPr>
                <w:rFonts w:cstheme="minorHAnsi"/>
                <w:lang w:val="en-US"/>
              </w:rPr>
              <w:t>Token holders can redeem tokens directly for services at preferential conditions.</w:t>
            </w:r>
          </w:p>
          <w:p w14:paraId="6A3D949C" w14:textId="77777777" w:rsidR="001073C5" w:rsidRPr="002E4D67" w:rsidRDefault="001073C5" w:rsidP="001073C5">
            <w:pPr>
              <w:pStyle w:val="Textkrper"/>
              <w:rPr>
                <w:rFonts w:cstheme="minorHAnsi"/>
                <w:lang w:val="en-US"/>
              </w:rPr>
            </w:pPr>
            <w:r w:rsidRPr="002E4D67">
              <w:rPr>
                <w:rFonts w:cstheme="minorHAnsi"/>
                <w:lang w:val="en-US"/>
              </w:rPr>
              <w:t xml:space="preserve">Bookings can be made via the official platform: </w:t>
            </w:r>
            <w:r w:rsidRPr="002E4D67">
              <w:rPr>
                <w:rStyle w:val="Fett"/>
                <w:rFonts w:cstheme="minorHAnsi"/>
                <w:lang w:val="en-US"/>
              </w:rPr>
              <w:t>www.wynd.group</w:t>
            </w:r>
            <w:r w:rsidRPr="002E4D67">
              <w:rPr>
                <w:rFonts w:cstheme="minorHAnsi"/>
                <w:lang w:val="en-US"/>
              </w:rPr>
              <w:t>.</w:t>
            </w:r>
          </w:p>
          <w:p w14:paraId="28F5060D" w14:textId="77777777" w:rsidR="001073C5" w:rsidRPr="002E4D67" w:rsidRDefault="001073C5" w:rsidP="001073C5">
            <w:pPr>
              <w:pStyle w:val="Textkrper"/>
              <w:rPr>
                <w:rFonts w:cstheme="minorHAnsi"/>
                <w:lang w:val="en-US"/>
              </w:rPr>
            </w:pPr>
            <w:r w:rsidRPr="002E4D67">
              <w:rPr>
                <w:rFonts w:cstheme="minorHAnsi"/>
                <w:lang w:val="en-US"/>
              </w:rPr>
              <w:t xml:space="preserve">Payments made in $WYND receive a </w:t>
            </w:r>
            <w:r w:rsidRPr="002E4D67">
              <w:rPr>
                <w:rStyle w:val="Fett"/>
                <w:rFonts w:cstheme="minorHAnsi"/>
                <w:lang w:val="en-US"/>
              </w:rPr>
              <w:t>15 % discount</w:t>
            </w:r>
            <w:r w:rsidRPr="002E4D67">
              <w:rPr>
                <w:rFonts w:cstheme="minorHAnsi"/>
                <w:lang w:val="en-US"/>
              </w:rPr>
              <w:t xml:space="preserve"> compared to payments in fiat currency (EUR or USD).</w:t>
            </w:r>
          </w:p>
          <w:p w14:paraId="5AF5E56E" w14:textId="77777777" w:rsidR="001073C5" w:rsidRPr="002E4D67" w:rsidRDefault="001073C5" w:rsidP="001073C5">
            <w:pPr>
              <w:pStyle w:val="Textkrper"/>
              <w:rPr>
                <w:rFonts w:cstheme="minorHAnsi"/>
                <w:bCs/>
                <w:lang w:val="en-US"/>
              </w:rPr>
            </w:pPr>
            <w:r w:rsidRPr="002E4D67">
              <w:rPr>
                <w:rStyle w:val="Fett"/>
                <w:rFonts w:cstheme="minorHAnsi"/>
                <w:lang w:val="en-US"/>
              </w:rPr>
              <w:lastRenderedPageBreak/>
              <w:t>3. Membership and Loyalty Integration</w:t>
            </w:r>
          </w:p>
          <w:p w14:paraId="266F9C75" w14:textId="77777777" w:rsidR="001073C5" w:rsidRPr="002E4D67" w:rsidRDefault="001073C5" w:rsidP="001073C5">
            <w:pPr>
              <w:pStyle w:val="Textkrper"/>
              <w:rPr>
                <w:rFonts w:cstheme="minorHAnsi"/>
                <w:lang w:val="en-US"/>
              </w:rPr>
            </w:pPr>
            <w:r w:rsidRPr="002E4D67">
              <w:rPr>
                <w:rFonts w:cstheme="minorHAnsi"/>
                <w:lang w:val="en-US"/>
              </w:rPr>
              <w:t xml:space="preserve">Token holders may </w:t>
            </w:r>
            <w:r w:rsidRPr="002E4D67">
              <w:rPr>
                <w:rStyle w:val="Fett"/>
                <w:rFonts w:cstheme="minorHAnsi"/>
                <w:lang w:val="en-US"/>
              </w:rPr>
              <w:t>stake</w:t>
            </w:r>
            <w:r w:rsidRPr="002E4D67">
              <w:rPr>
                <w:rFonts w:cstheme="minorHAnsi"/>
                <w:lang w:val="en-US"/>
              </w:rPr>
              <w:t xml:space="preserve"> $WYND tokens to unlock different membership tiers (3–36 months) that determine early-booking rights, exclusive event access, and concierge privileges.</w:t>
            </w:r>
          </w:p>
          <w:p w14:paraId="22D1F2C5" w14:textId="77777777" w:rsidR="001073C5" w:rsidRPr="002E4D67" w:rsidRDefault="001073C5" w:rsidP="001073C5">
            <w:pPr>
              <w:pStyle w:val="Textkrper"/>
              <w:rPr>
                <w:rFonts w:cstheme="minorHAnsi"/>
                <w:lang w:val="en-US"/>
              </w:rPr>
            </w:pPr>
            <w:r w:rsidRPr="002E4D67">
              <w:rPr>
                <w:rFonts w:cstheme="minorHAnsi"/>
                <w:lang w:val="en-US"/>
              </w:rPr>
              <w:t xml:space="preserve">The staking mechanism is </w:t>
            </w:r>
            <w:r w:rsidRPr="002E4D67">
              <w:rPr>
                <w:rStyle w:val="Fett"/>
                <w:rFonts w:cstheme="minorHAnsi"/>
                <w:lang w:val="en-US"/>
              </w:rPr>
              <w:t>non-financial</w:t>
            </w:r>
            <w:r w:rsidRPr="002E4D67">
              <w:rPr>
                <w:rFonts w:cstheme="minorHAnsi"/>
                <w:lang w:val="en-US"/>
              </w:rPr>
              <w:t xml:space="preserve"> — it provides </w:t>
            </w:r>
            <w:r w:rsidRPr="002E4D67">
              <w:rPr>
                <w:rStyle w:val="Fett"/>
                <w:rFonts w:cstheme="minorHAnsi"/>
                <w:lang w:val="en-US"/>
              </w:rPr>
              <w:t>access and loyalty benefits</w:t>
            </w:r>
            <w:r w:rsidRPr="002E4D67">
              <w:rPr>
                <w:rFonts w:cstheme="minorHAnsi"/>
                <w:lang w:val="en-US"/>
              </w:rPr>
              <w:t xml:space="preserve"> only.</w:t>
            </w:r>
          </w:p>
          <w:p w14:paraId="6B5B473B" w14:textId="77777777" w:rsidR="001073C5" w:rsidRPr="002E4D67" w:rsidRDefault="001073C5" w:rsidP="001073C5">
            <w:pPr>
              <w:pStyle w:val="Textkrper"/>
              <w:rPr>
                <w:rFonts w:cstheme="minorHAnsi"/>
                <w:lang w:val="en-US"/>
              </w:rPr>
            </w:pPr>
            <w:r w:rsidRPr="002E4D67">
              <w:rPr>
                <w:rFonts w:cstheme="minorHAnsi"/>
                <w:lang w:val="en-US"/>
              </w:rPr>
              <w:t>Examples of benefits include:</w:t>
            </w:r>
          </w:p>
          <w:p w14:paraId="27C89035" w14:textId="77777777" w:rsidR="001073C5" w:rsidRPr="002E4D67" w:rsidRDefault="001073C5" w:rsidP="001073C5">
            <w:pPr>
              <w:pStyle w:val="Textkrper"/>
              <w:rPr>
                <w:rFonts w:cstheme="minorHAnsi"/>
                <w:lang w:val="en-US"/>
              </w:rPr>
            </w:pPr>
            <w:r w:rsidRPr="002E4D67">
              <w:rPr>
                <w:rFonts w:cstheme="minorHAnsi"/>
                <w:lang w:val="en-US"/>
              </w:rPr>
              <w:t>Early yacht booking rights for premium members,</w:t>
            </w:r>
          </w:p>
          <w:p w14:paraId="5450F8C6" w14:textId="77777777" w:rsidR="001073C5" w:rsidRPr="002E4D67" w:rsidRDefault="001073C5" w:rsidP="001073C5">
            <w:pPr>
              <w:pStyle w:val="Textkrper"/>
              <w:rPr>
                <w:rFonts w:cstheme="minorHAnsi"/>
                <w:lang w:val="en-US"/>
              </w:rPr>
            </w:pPr>
            <w:r w:rsidRPr="002E4D67">
              <w:rPr>
                <w:rFonts w:cstheme="minorHAnsi"/>
                <w:lang w:val="en-US"/>
              </w:rPr>
              <w:t>Priority access to Discovery Weeks,</w:t>
            </w:r>
          </w:p>
          <w:p w14:paraId="4164B49F" w14:textId="77777777" w:rsidR="001073C5" w:rsidRPr="002E4D67" w:rsidRDefault="001073C5" w:rsidP="001073C5">
            <w:pPr>
              <w:pStyle w:val="Textkrper"/>
              <w:rPr>
                <w:rFonts w:cstheme="minorHAnsi"/>
                <w:lang w:val="en-US"/>
              </w:rPr>
            </w:pPr>
            <w:r w:rsidRPr="002E4D67">
              <w:rPr>
                <w:rFonts w:cstheme="minorHAnsi"/>
                <w:lang w:val="en-US"/>
              </w:rPr>
              <w:t>Private invitations to WYND community events and partner retreats.</w:t>
            </w:r>
          </w:p>
          <w:p w14:paraId="65E86FAB" w14:textId="18E541A2" w:rsidR="001073C5" w:rsidRPr="002E4D67" w:rsidRDefault="001073C5" w:rsidP="001073C5">
            <w:pPr>
              <w:pStyle w:val="Textkrper"/>
              <w:rPr>
                <w:rFonts w:cstheme="minorHAnsi"/>
                <w:bCs/>
                <w:lang w:val="en-US"/>
              </w:rPr>
            </w:pPr>
            <w:r w:rsidRPr="002E4D67">
              <w:rPr>
                <w:rStyle w:val="Fett"/>
                <w:rFonts w:cstheme="minorHAnsi"/>
                <w:lang w:val="en-US"/>
              </w:rPr>
              <w:t>4. Real-World Integration</w:t>
            </w:r>
          </w:p>
          <w:p w14:paraId="2110CEFC" w14:textId="77777777" w:rsidR="001073C5" w:rsidRPr="002E4D67" w:rsidRDefault="001073C5" w:rsidP="001073C5">
            <w:pPr>
              <w:pStyle w:val="Textkrper"/>
              <w:rPr>
                <w:rFonts w:cstheme="minorHAnsi"/>
                <w:lang w:val="en-US"/>
              </w:rPr>
            </w:pPr>
            <w:r w:rsidRPr="002E4D67">
              <w:rPr>
                <w:rFonts w:cstheme="minorHAnsi"/>
                <w:lang w:val="en-US"/>
              </w:rPr>
              <w:t xml:space="preserve">All WYND services are </w:t>
            </w:r>
            <w:r w:rsidRPr="002E4D67">
              <w:rPr>
                <w:rStyle w:val="Fett"/>
                <w:rFonts w:cstheme="minorHAnsi"/>
                <w:lang w:val="en-US"/>
              </w:rPr>
              <w:t>physically operated</w:t>
            </w:r>
            <w:r w:rsidRPr="002E4D67">
              <w:rPr>
                <w:rFonts w:cstheme="minorHAnsi"/>
                <w:lang w:val="en-US"/>
              </w:rPr>
              <w:t xml:space="preserve"> and verifiable.</w:t>
            </w:r>
          </w:p>
          <w:p w14:paraId="1CE1678D" w14:textId="77777777" w:rsidR="001073C5" w:rsidRPr="002E4D67" w:rsidRDefault="001073C5" w:rsidP="001073C5">
            <w:pPr>
              <w:pStyle w:val="Textkrper"/>
              <w:rPr>
                <w:rFonts w:cstheme="minorHAnsi"/>
                <w:lang w:val="en-US"/>
              </w:rPr>
            </w:pPr>
            <w:r w:rsidRPr="002E4D67">
              <w:rPr>
                <w:rFonts w:cstheme="minorHAnsi"/>
                <w:lang w:val="en-US"/>
              </w:rPr>
              <w:t xml:space="preserve">WYND Discovery Weeks currently take place in </w:t>
            </w:r>
            <w:r w:rsidRPr="002E4D67">
              <w:rPr>
                <w:rStyle w:val="Fett"/>
                <w:rFonts w:cstheme="minorHAnsi"/>
                <w:lang w:val="en-US"/>
              </w:rPr>
              <w:t>El Gouna and Hurghada (Egypt)</w:t>
            </w:r>
            <w:r w:rsidRPr="002E4D67">
              <w:rPr>
                <w:rFonts w:cstheme="minorHAnsi"/>
                <w:lang w:val="en-US"/>
              </w:rPr>
              <w:t>.</w:t>
            </w:r>
          </w:p>
          <w:p w14:paraId="0E4E4313" w14:textId="77777777" w:rsidR="001073C5" w:rsidRPr="002E4D67" w:rsidRDefault="001073C5" w:rsidP="001073C5">
            <w:pPr>
              <w:pStyle w:val="Textkrper"/>
              <w:rPr>
                <w:rFonts w:cstheme="minorHAnsi"/>
                <w:lang w:val="en-US"/>
              </w:rPr>
            </w:pPr>
            <w:r w:rsidRPr="002E4D67">
              <w:rPr>
                <w:rFonts w:cstheme="minorHAnsi"/>
                <w:lang w:val="en-US"/>
              </w:rPr>
              <w:t xml:space="preserve">Future operations include </w:t>
            </w:r>
            <w:r w:rsidRPr="002E4D67">
              <w:rPr>
                <w:rStyle w:val="Fett"/>
                <w:rFonts w:cstheme="minorHAnsi"/>
                <w:lang w:val="en-US"/>
              </w:rPr>
              <w:t>the Mediterranean (2028)</w:t>
            </w:r>
            <w:r w:rsidRPr="002E4D67">
              <w:rPr>
                <w:rFonts w:cstheme="minorHAnsi"/>
                <w:lang w:val="en-US"/>
              </w:rPr>
              <w:t xml:space="preserve"> and </w:t>
            </w:r>
            <w:r w:rsidRPr="002E4D67">
              <w:rPr>
                <w:rStyle w:val="Fett"/>
                <w:rFonts w:cstheme="minorHAnsi"/>
                <w:lang w:val="en-US"/>
              </w:rPr>
              <w:t>the Caribbean and Indian Ocean regions (from 2029 onward)</w:t>
            </w:r>
            <w:r w:rsidRPr="002E4D67">
              <w:rPr>
                <w:rFonts w:cstheme="minorHAnsi"/>
                <w:lang w:val="en-US"/>
              </w:rPr>
              <w:t>.</w:t>
            </w:r>
          </w:p>
          <w:p w14:paraId="6B6FE1E1" w14:textId="77777777" w:rsidR="001073C5" w:rsidRPr="002E4D67" w:rsidRDefault="001073C5" w:rsidP="001073C5">
            <w:pPr>
              <w:pStyle w:val="Textkrper"/>
              <w:rPr>
                <w:rFonts w:cstheme="minorHAnsi"/>
                <w:lang w:val="en-US"/>
              </w:rPr>
            </w:pPr>
            <w:r w:rsidRPr="002E4D67">
              <w:rPr>
                <w:rFonts w:cstheme="minorHAnsi"/>
                <w:lang w:val="en-US"/>
              </w:rPr>
              <w:t>WYND partners with professional shipyards, travel service providers, and event operators to deliver these services under standardized hospitality and safety guidelines.</w:t>
            </w:r>
          </w:p>
          <w:p w14:paraId="3E39547F" w14:textId="77777777" w:rsidR="001073C5" w:rsidRPr="002E4D67" w:rsidRDefault="001073C5" w:rsidP="001073C5">
            <w:pPr>
              <w:pStyle w:val="Textkrper"/>
              <w:rPr>
                <w:rFonts w:cstheme="minorHAnsi"/>
                <w:lang w:val="en-US"/>
              </w:rPr>
            </w:pPr>
          </w:p>
        </w:tc>
      </w:tr>
      <w:tr w:rsidR="001073C5" w:rsidRPr="002E4D67" w14:paraId="50082716" w14:textId="77777777" w:rsidTr="00D64090">
        <w:tc>
          <w:tcPr>
            <w:tcW w:w="1985" w:type="dxa"/>
          </w:tcPr>
          <w:p w14:paraId="67C4F84A" w14:textId="656E07B7" w:rsidR="001073C5" w:rsidRPr="002E4D67" w:rsidRDefault="001073C5" w:rsidP="001073C5">
            <w:pPr>
              <w:pStyle w:val="berschrift1"/>
              <w:keepNext w:val="0"/>
              <w:keepLines w:val="0"/>
              <w:rPr>
                <w:lang w:val="en-US"/>
              </w:rPr>
            </w:pPr>
            <w:bookmarkStart w:id="428" w:name="_Toc212018004"/>
            <w:bookmarkStart w:id="429" w:name="_Toc213164232"/>
            <w:bookmarkStart w:id="430" w:name="_Toc213179212"/>
            <w:r w:rsidRPr="002E4D67">
              <w:rPr>
                <w:lang w:val="en-US"/>
              </w:rPr>
              <w:lastRenderedPageBreak/>
              <w:t>G.8 Utility tokens redemption</w:t>
            </w:r>
            <w:bookmarkEnd w:id="428"/>
            <w:bookmarkEnd w:id="429"/>
            <w:bookmarkEnd w:id="430"/>
          </w:p>
        </w:tc>
        <w:tc>
          <w:tcPr>
            <w:tcW w:w="6371" w:type="dxa"/>
          </w:tcPr>
          <w:p w14:paraId="0A761816" w14:textId="77777777" w:rsidR="001073C5" w:rsidRPr="002E4D67" w:rsidRDefault="001073C5" w:rsidP="001073C5">
            <w:pPr>
              <w:pStyle w:val="Textkrper"/>
              <w:rPr>
                <w:rFonts w:cstheme="minorHAnsi"/>
                <w:lang w:val="en-US"/>
              </w:rPr>
            </w:pPr>
            <w:r w:rsidRPr="002E4D67">
              <w:rPr>
                <w:rFonts w:cstheme="minorHAnsi"/>
                <w:lang w:val="en-US"/>
              </w:rPr>
              <w:t xml:space="preserve">The </w:t>
            </w:r>
            <w:r w:rsidRPr="002E4D67">
              <w:rPr>
                <w:rStyle w:val="Fett"/>
                <w:rFonts w:cstheme="minorHAnsi"/>
                <w:lang w:val="en-US"/>
              </w:rPr>
              <w:t>$WYND Utility Token</w:t>
            </w:r>
            <w:r w:rsidRPr="002E4D67">
              <w:rPr>
                <w:rFonts w:cstheme="minorHAnsi"/>
                <w:lang w:val="en-US"/>
              </w:rPr>
              <w:t xml:space="preserve"> can be </w:t>
            </w:r>
            <w:r w:rsidRPr="002E4D67">
              <w:rPr>
                <w:rStyle w:val="Fett"/>
                <w:rFonts w:cstheme="minorHAnsi"/>
                <w:lang w:val="en-US"/>
              </w:rPr>
              <w:t>redeemed exclusively for services</w:t>
            </w:r>
            <w:r w:rsidRPr="002E4D67">
              <w:rPr>
                <w:rFonts w:cstheme="minorHAnsi"/>
                <w:lang w:val="en-US"/>
              </w:rPr>
              <w:t xml:space="preserve"> within the WYND ecosystem.</w:t>
            </w:r>
            <w:r w:rsidRPr="002E4D67">
              <w:rPr>
                <w:rFonts w:cstheme="minorHAnsi"/>
                <w:lang w:val="en-US"/>
              </w:rPr>
              <w:br/>
              <w:t xml:space="preserve">Redemption means the </w:t>
            </w:r>
            <w:r w:rsidRPr="002E4D67">
              <w:rPr>
                <w:rStyle w:val="Fett"/>
                <w:rFonts w:cstheme="minorHAnsi"/>
                <w:lang w:val="en-US"/>
              </w:rPr>
              <w:t>use of tokens as payment or exchange for access</w:t>
            </w:r>
            <w:r w:rsidRPr="002E4D67">
              <w:rPr>
                <w:rFonts w:cstheme="minorHAnsi"/>
                <w:lang w:val="en-US"/>
              </w:rPr>
              <w:t xml:space="preserve"> to goods and services operated by WYND Capital GmbH and its affiliated partners.</w:t>
            </w:r>
          </w:p>
          <w:p w14:paraId="6F86B85D" w14:textId="77777777" w:rsidR="001073C5" w:rsidRPr="002E4D67" w:rsidRDefault="001073C5" w:rsidP="001073C5">
            <w:pPr>
              <w:pStyle w:val="Textkrper"/>
              <w:rPr>
                <w:rFonts w:cstheme="minorHAnsi"/>
                <w:lang w:val="en-US"/>
              </w:rPr>
            </w:pPr>
            <w:r w:rsidRPr="002E4D67">
              <w:rPr>
                <w:rStyle w:val="Fett"/>
                <w:rFonts w:cstheme="minorHAnsi"/>
                <w:lang w:val="en-US"/>
              </w:rPr>
              <w:t>1. Redemption Mechanism</w:t>
            </w:r>
          </w:p>
          <w:p w14:paraId="1E5BC6B7" w14:textId="77777777" w:rsidR="001073C5" w:rsidRPr="002E4D67" w:rsidRDefault="001073C5" w:rsidP="001073C5">
            <w:pPr>
              <w:pStyle w:val="Textkrper"/>
              <w:rPr>
                <w:rFonts w:cstheme="minorHAnsi"/>
                <w:lang w:val="en-US"/>
              </w:rPr>
            </w:pPr>
            <w:r w:rsidRPr="002E4D67">
              <w:rPr>
                <w:rFonts w:cstheme="minorHAnsi"/>
                <w:lang w:val="en-US"/>
              </w:rPr>
              <w:t>Token holders may redeem $WYND tokens directly for services such as:</w:t>
            </w:r>
          </w:p>
          <w:p w14:paraId="41E328EE" w14:textId="7AD74434" w:rsidR="001073C5" w:rsidRPr="002E4D67" w:rsidRDefault="001073C5" w:rsidP="007F606C">
            <w:pPr>
              <w:pStyle w:val="Textkrper"/>
              <w:numPr>
                <w:ilvl w:val="0"/>
                <w:numId w:val="54"/>
              </w:numPr>
              <w:rPr>
                <w:rFonts w:cstheme="minorHAnsi"/>
                <w:lang w:val="en-US"/>
              </w:rPr>
            </w:pPr>
            <w:r w:rsidRPr="002E4D67">
              <w:rPr>
                <w:rFonts w:cstheme="minorHAnsi"/>
                <w:lang w:val="en-US"/>
              </w:rPr>
              <w:t>WYND Discovery Weeks (Red Sea operations),</w:t>
            </w:r>
          </w:p>
          <w:p w14:paraId="42A6131E" w14:textId="77777777" w:rsidR="001073C5" w:rsidRPr="002E4D67" w:rsidRDefault="001073C5" w:rsidP="007F606C">
            <w:pPr>
              <w:pStyle w:val="Textkrper"/>
              <w:numPr>
                <w:ilvl w:val="0"/>
                <w:numId w:val="54"/>
              </w:numPr>
              <w:rPr>
                <w:rFonts w:cstheme="minorHAnsi"/>
                <w:lang w:val="en-US"/>
              </w:rPr>
            </w:pPr>
            <w:r w:rsidRPr="002E4D67">
              <w:rPr>
                <w:rFonts w:cstheme="minorHAnsi"/>
                <w:lang w:val="en-US"/>
              </w:rPr>
              <w:lastRenderedPageBreak/>
              <w:t>WYND Yacht Voyages (from 2028),</w:t>
            </w:r>
          </w:p>
          <w:p w14:paraId="78384BDF" w14:textId="77777777" w:rsidR="001073C5" w:rsidRPr="002E4D67" w:rsidRDefault="001073C5" w:rsidP="007F606C">
            <w:pPr>
              <w:pStyle w:val="Textkrper"/>
              <w:numPr>
                <w:ilvl w:val="0"/>
                <w:numId w:val="54"/>
              </w:numPr>
              <w:rPr>
                <w:rFonts w:cstheme="minorHAnsi"/>
                <w:lang w:val="en-US"/>
              </w:rPr>
            </w:pPr>
            <w:r w:rsidRPr="002E4D67">
              <w:rPr>
                <w:rFonts w:cstheme="minorHAnsi"/>
                <w:lang w:val="en-US"/>
              </w:rPr>
              <w:t>WYND Concierge &amp; Experiences,</w:t>
            </w:r>
          </w:p>
          <w:p w14:paraId="22C3B262" w14:textId="77777777" w:rsidR="001073C5" w:rsidRPr="002E4D67" w:rsidRDefault="001073C5" w:rsidP="007F606C">
            <w:pPr>
              <w:pStyle w:val="Textkrper"/>
              <w:numPr>
                <w:ilvl w:val="0"/>
                <w:numId w:val="54"/>
              </w:numPr>
              <w:rPr>
                <w:rFonts w:cstheme="minorHAnsi"/>
                <w:lang w:val="en-US"/>
              </w:rPr>
            </w:pPr>
            <w:r w:rsidRPr="002E4D67">
              <w:rPr>
                <w:rFonts w:cstheme="minorHAnsi"/>
                <w:lang w:val="en-US"/>
              </w:rPr>
              <w:t>and future offerings like WYND Jet &amp; WYND Heli.</w:t>
            </w:r>
          </w:p>
          <w:p w14:paraId="489F238E" w14:textId="77777777" w:rsidR="001073C5" w:rsidRPr="002E4D67" w:rsidRDefault="001073C5" w:rsidP="001073C5">
            <w:pPr>
              <w:pStyle w:val="Textkrper"/>
              <w:rPr>
                <w:rFonts w:cstheme="minorHAnsi"/>
                <w:lang w:val="en-US"/>
              </w:rPr>
            </w:pPr>
            <w:r w:rsidRPr="002E4D67">
              <w:rPr>
                <w:rFonts w:cstheme="minorHAnsi"/>
                <w:lang w:val="en-US"/>
              </w:rPr>
              <w:t xml:space="preserve">Redemption is processed via the </w:t>
            </w:r>
            <w:r w:rsidRPr="002E4D67">
              <w:rPr>
                <w:rStyle w:val="Fett"/>
                <w:rFonts w:cstheme="minorHAnsi"/>
                <w:lang w:val="en-US"/>
              </w:rPr>
              <w:t>WYND Platform Interface (www.wynd.group)</w:t>
            </w:r>
            <w:r w:rsidRPr="002E4D67">
              <w:rPr>
                <w:rFonts w:cstheme="minorHAnsi"/>
                <w:lang w:val="en-US"/>
              </w:rPr>
              <w:t xml:space="preserve"> through verified wallet connections.</w:t>
            </w:r>
          </w:p>
          <w:p w14:paraId="186A19D3" w14:textId="5605D52C" w:rsidR="001073C5" w:rsidRPr="002E4D67" w:rsidRDefault="001073C5" w:rsidP="001073C5">
            <w:pPr>
              <w:pStyle w:val="Textkrper"/>
              <w:rPr>
                <w:rFonts w:cstheme="minorHAnsi"/>
                <w:lang w:val="en-US"/>
              </w:rPr>
            </w:pPr>
            <w:r w:rsidRPr="002E4D67">
              <w:rPr>
                <w:rFonts w:cstheme="minorHAnsi"/>
                <w:lang w:val="en-US"/>
              </w:rPr>
              <w:t xml:space="preserve">Each redemption transaction is settled </w:t>
            </w:r>
            <w:r w:rsidRPr="002E4D67">
              <w:rPr>
                <w:rStyle w:val="Fett"/>
                <w:rFonts w:cstheme="minorHAnsi"/>
                <w:lang w:val="en-US"/>
              </w:rPr>
              <w:t>on-chain</w:t>
            </w:r>
            <w:r w:rsidRPr="002E4D67">
              <w:rPr>
                <w:rFonts w:cstheme="minorHAnsi"/>
                <w:lang w:val="en-US"/>
              </w:rPr>
              <w:t xml:space="preserve"> through smart contracts that transfer the service entitlement to the purchaser and burn or lock the equivalent amount of tokens.</w:t>
            </w:r>
          </w:p>
          <w:p w14:paraId="75B0BD88" w14:textId="6607E9A0" w:rsidR="001073C5" w:rsidRPr="002E4D67" w:rsidRDefault="001073C5" w:rsidP="001073C5">
            <w:pPr>
              <w:pStyle w:val="Textkrper"/>
              <w:rPr>
                <w:rFonts w:cstheme="minorHAnsi"/>
                <w:lang w:val="en-US"/>
              </w:rPr>
            </w:pPr>
            <w:r w:rsidRPr="002E4D67">
              <w:rPr>
                <w:rStyle w:val="Fett"/>
                <w:rFonts w:cstheme="minorHAnsi"/>
                <w:lang w:val="en-US"/>
              </w:rPr>
              <w:t>2. No Fiat Redemption or Repurchase</w:t>
            </w:r>
          </w:p>
          <w:p w14:paraId="186410FB" w14:textId="77777777" w:rsidR="001073C5" w:rsidRPr="002E4D67" w:rsidRDefault="001073C5" w:rsidP="001073C5">
            <w:pPr>
              <w:pStyle w:val="Textkrper"/>
              <w:rPr>
                <w:rFonts w:cstheme="minorHAnsi"/>
                <w:lang w:val="en-US"/>
              </w:rPr>
            </w:pPr>
            <w:r w:rsidRPr="002E4D67">
              <w:rPr>
                <w:rFonts w:cstheme="minorHAnsi"/>
                <w:lang w:val="en-US"/>
              </w:rPr>
              <w:t xml:space="preserve">WYND Capital GmbH is </w:t>
            </w:r>
            <w:r w:rsidRPr="002E4D67">
              <w:rPr>
                <w:rStyle w:val="Fett"/>
                <w:rFonts w:cstheme="minorHAnsi"/>
                <w:lang w:val="en-US"/>
              </w:rPr>
              <w:t>not obligated</w:t>
            </w:r>
            <w:r w:rsidRPr="002E4D67">
              <w:rPr>
                <w:rFonts w:cstheme="minorHAnsi"/>
                <w:lang w:val="en-US"/>
              </w:rPr>
              <w:t xml:space="preserve"> to repurchase or redeem $WYND tokens in fiat currency or any other crypto asset.</w:t>
            </w:r>
          </w:p>
          <w:p w14:paraId="51EC295A" w14:textId="77777777" w:rsidR="001073C5" w:rsidRPr="002E4D67" w:rsidRDefault="001073C5" w:rsidP="001073C5">
            <w:pPr>
              <w:pStyle w:val="Textkrper"/>
              <w:rPr>
                <w:rFonts w:cstheme="minorHAnsi"/>
                <w:lang w:val="en-US"/>
              </w:rPr>
            </w:pPr>
            <w:r w:rsidRPr="002E4D67">
              <w:rPr>
                <w:rFonts w:cstheme="minorHAnsi"/>
                <w:lang w:val="en-US"/>
              </w:rPr>
              <w:t>Token redemption is strictly limited to service access and participation within the WYND ecosystem.</w:t>
            </w:r>
          </w:p>
          <w:p w14:paraId="6BFB3610" w14:textId="77777777" w:rsidR="001073C5" w:rsidRPr="002E4D67" w:rsidRDefault="001073C5" w:rsidP="001073C5">
            <w:pPr>
              <w:pStyle w:val="Textkrper"/>
              <w:rPr>
                <w:rFonts w:cstheme="minorHAnsi"/>
                <w:lang w:val="en-US"/>
              </w:rPr>
            </w:pPr>
            <w:r w:rsidRPr="002E4D67">
              <w:rPr>
                <w:rFonts w:cstheme="minorHAnsi"/>
                <w:lang w:val="en-US"/>
              </w:rPr>
              <w:t xml:space="preserve">The token </w:t>
            </w:r>
            <w:r w:rsidRPr="002E4D67">
              <w:rPr>
                <w:rStyle w:val="Fett"/>
                <w:rFonts w:cstheme="minorHAnsi"/>
                <w:lang w:val="en-US"/>
              </w:rPr>
              <w:t>does not represent a debt instrument or claim for repayment</w:t>
            </w:r>
            <w:r w:rsidRPr="002E4D67">
              <w:rPr>
                <w:rFonts w:cstheme="minorHAnsi"/>
                <w:lang w:val="en-US"/>
              </w:rPr>
              <w:t>.</w:t>
            </w:r>
          </w:p>
          <w:p w14:paraId="1F55F1E2" w14:textId="589A8B2C" w:rsidR="001073C5" w:rsidRPr="002E4D67" w:rsidRDefault="001073C5" w:rsidP="001073C5">
            <w:pPr>
              <w:pStyle w:val="Textkrper"/>
              <w:rPr>
                <w:rFonts w:cstheme="minorHAnsi"/>
                <w:lang w:val="en-US"/>
              </w:rPr>
            </w:pPr>
            <w:r w:rsidRPr="002E4D67">
              <w:rPr>
                <w:rStyle w:val="Fett"/>
                <w:rFonts w:cstheme="minorHAnsi"/>
                <w:lang w:val="en-US"/>
              </w:rPr>
              <w:t>3. Redemption Timing and Availability</w:t>
            </w:r>
          </w:p>
          <w:p w14:paraId="3F2D3E7F" w14:textId="77777777" w:rsidR="001073C5" w:rsidRPr="002E4D67" w:rsidRDefault="001073C5" w:rsidP="001073C5">
            <w:pPr>
              <w:pStyle w:val="Textkrper"/>
              <w:rPr>
                <w:rFonts w:cstheme="minorHAnsi"/>
                <w:lang w:val="en-US"/>
              </w:rPr>
            </w:pPr>
            <w:r w:rsidRPr="002E4D67">
              <w:rPr>
                <w:rFonts w:cstheme="minorHAnsi"/>
                <w:lang w:val="en-US"/>
              </w:rPr>
              <w:t>Redemption is available continuously for all live WYND services (currently WYND Discovery Weeks).</w:t>
            </w:r>
          </w:p>
          <w:p w14:paraId="45C36E58" w14:textId="77777777" w:rsidR="001073C5" w:rsidRPr="002E4D67" w:rsidRDefault="001073C5" w:rsidP="001073C5">
            <w:pPr>
              <w:pStyle w:val="Textkrper"/>
              <w:rPr>
                <w:rFonts w:cstheme="minorHAnsi"/>
                <w:lang w:val="en-US"/>
              </w:rPr>
            </w:pPr>
            <w:r w:rsidRPr="002E4D67">
              <w:rPr>
                <w:rFonts w:cstheme="minorHAnsi"/>
                <w:lang w:val="en-US"/>
              </w:rPr>
              <w:t>Additional services, such as WYND Yacht and WYND Jet, will become redeemable as they launch.</w:t>
            </w:r>
          </w:p>
          <w:p w14:paraId="756D087F" w14:textId="77777777" w:rsidR="001073C5" w:rsidRPr="002E4D67" w:rsidRDefault="001073C5" w:rsidP="001073C5">
            <w:pPr>
              <w:pStyle w:val="Textkrper"/>
              <w:rPr>
                <w:rFonts w:cstheme="minorHAnsi"/>
                <w:lang w:val="en-US"/>
              </w:rPr>
            </w:pPr>
            <w:r w:rsidRPr="002E4D67">
              <w:rPr>
                <w:rFonts w:cstheme="minorHAnsi"/>
                <w:lang w:val="en-US"/>
              </w:rPr>
              <w:t xml:space="preserve">All redemption options, AC conversions, and applicable service schedules are published transparently on </w:t>
            </w:r>
            <w:r w:rsidRPr="002E4D67">
              <w:rPr>
                <w:rStyle w:val="Fett"/>
                <w:rFonts w:cstheme="minorHAnsi"/>
                <w:lang w:val="en-US"/>
              </w:rPr>
              <w:t>www.wynd.group</w:t>
            </w:r>
            <w:r w:rsidRPr="002E4D67">
              <w:rPr>
                <w:rFonts w:cstheme="minorHAnsi"/>
                <w:lang w:val="en-US"/>
              </w:rPr>
              <w:t>.</w:t>
            </w:r>
          </w:p>
          <w:p w14:paraId="72EBEADE" w14:textId="3BD9EDFA" w:rsidR="001073C5" w:rsidRPr="002E4D67" w:rsidRDefault="001073C5" w:rsidP="001073C5">
            <w:pPr>
              <w:pStyle w:val="Textkrper"/>
              <w:rPr>
                <w:rFonts w:cstheme="minorHAnsi"/>
                <w:lang w:val="en-US"/>
              </w:rPr>
            </w:pPr>
            <w:r w:rsidRPr="002E4D67">
              <w:rPr>
                <w:rStyle w:val="Fett"/>
                <w:rFonts w:cstheme="minorHAnsi"/>
                <w:lang w:val="en-US"/>
              </w:rPr>
              <w:t>4. Consumer Protection and Transparency</w:t>
            </w:r>
          </w:p>
          <w:p w14:paraId="5F9E34DE" w14:textId="77777777" w:rsidR="001073C5" w:rsidRPr="002E4D67" w:rsidRDefault="001073C5" w:rsidP="001073C5">
            <w:pPr>
              <w:pStyle w:val="Textkrper"/>
              <w:rPr>
                <w:rFonts w:cstheme="minorHAnsi"/>
                <w:lang w:val="en-US"/>
              </w:rPr>
            </w:pPr>
            <w:r w:rsidRPr="002E4D67">
              <w:rPr>
                <w:rFonts w:cstheme="minorHAnsi"/>
                <w:lang w:val="en-US"/>
              </w:rPr>
              <w:t xml:space="preserve">The redemption process ensures that token holders can always verify the </w:t>
            </w:r>
            <w:r w:rsidRPr="002E4D67">
              <w:rPr>
                <w:rStyle w:val="Fett"/>
                <w:rFonts w:cstheme="minorHAnsi"/>
                <w:lang w:val="en-US"/>
              </w:rPr>
              <w:t>conversion ratio, applicable WPI rate</w:t>
            </w:r>
            <w:r w:rsidRPr="002E4D67">
              <w:rPr>
                <w:rFonts w:cstheme="minorHAnsi"/>
                <w:lang w:val="en-US"/>
              </w:rPr>
              <w:t>, and service availability before completing a transaction.</w:t>
            </w:r>
          </w:p>
          <w:p w14:paraId="535F09FB" w14:textId="77777777" w:rsidR="001073C5" w:rsidRPr="002E4D67" w:rsidRDefault="001073C5" w:rsidP="001073C5">
            <w:pPr>
              <w:pStyle w:val="Textkrper"/>
              <w:rPr>
                <w:rFonts w:cstheme="minorHAnsi"/>
                <w:lang w:val="en-US"/>
              </w:rPr>
            </w:pPr>
            <w:r w:rsidRPr="002E4D67">
              <w:rPr>
                <w:rFonts w:cstheme="minorHAnsi"/>
                <w:lang w:val="en-US"/>
              </w:rPr>
              <w:t>WYND Capital GmbH publishes all current redemption terms and WPI-calibrated service values via the official platform.</w:t>
            </w:r>
          </w:p>
          <w:p w14:paraId="000EBA27" w14:textId="77777777" w:rsidR="001073C5" w:rsidRPr="002E4D67" w:rsidRDefault="001073C5" w:rsidP="001073C5">
            <w:pPr>
              <w:pStyle w:val="Textkrper"/>
              <w:rPr>
                <w:rFonts w:cstheme="minorHAnsi"/>
                <w:lang w:val="en-US"/>
              </w:rPr>
            </w:pPr>
          </w:p>
        </w:tc>
      </w:tr>
      <w:tr w:rsidR="001073C5" w:rsidRPr="002E4D67" w14:paraId="15AB344D" w14:textId="77777777" w:rsidTr="00D64090">
        <w:tc>
          <w:tcPr>
            <w:tcW w:w="1985" w:type="dxa"/>
          </w:tcPr>
          <w:p w14:paraId="47D9D049" w14:textId="2BCBEB25" w:rsidR="001073C5" w:rsidRPr="002E4D67" w:rsidRDefault="001073C5" w:rsidP="001073C5">
            <w:pPr>
              <w:pStyle w:val="berschrift1"/>
              <w:keepNext w:val="0"/>
              <w:keepLines w:val="0"/>
              <w:rPr>
                <w:lang w:val="en-US"/>
              </w:rPr>
            </w:pPr>
            <w:bookmarkStart w:id="431" w:name="_Toc212018006"/>
            <w:bookmarkStart w:id="432" w:name="_Toc213164233"/>
            <w:bookmarkStart w:id="433" w:name="_Toc213179213"/>
            <w:r w:rsidRPr="002E4D67">
              <w:rPr>
                <w:lang w:val="en-US"/>
              </w:rPr>
              <w:lastRenderedPageBreak/>
              <w:t>G.9 Non-trading request</w:t>
            </w:r>
            <w:bookmarkEnd w:id="431"/>
            <w:bookmarkEnd w:id="432"/>
            <w:bookmarkEnd w:id="433"/>
          </w:p>
        </w:tc>
        <w:tc>
          <w:tcPr>
            <w:tcW w:w="6371" w:type="dxa"/>
          </w:tcPr>
          <w:p w14:paraId="41FCADFA" w14:textId="565275ED" w:rsidR="001073C5" w:rsidRPr="002E4D67" w:rsidRDefault="001073C5" w:rsidP="001073C5">
            <w:pPr>
              <w:pStyle w:val="Textkrper"/>
              <w:rPr>
                <w:rFonts w:cstheme="minorHAnsi"/>
                <w:lang w:val="en-US"/>
              </w:rPr>
            </w:pPr>
            <w:r w:rsidRPr="002E4D67">
              <w:rPr>
                <w:rFonts w:cstheme="minorHAnsi"/>
                <w:lang w:val="en-US"/>
              </w:rPr>
              <w:t xml:space="preserve">False. </w:t>
            </w:r>
          </w:p>
        </w:tc>
      </w:tr>
      <w:tr w:rsidR="001073C5" w:rsidRPr="002E4D67" w14:paraId="71FD06E8" w14:textId="77777777" w:rsidTr="00D64090">
        <w:tc>
          <w:tcPr>
            <w:tcW w:w="1985" w:type="dxa"/>
          </w:tcPr>
          <w:p w14:paraId="441FC40A" w14:textId="7ABA0220" w:rsidR="001073C5" w:rsidRPr="002E4D67" w:rsidRDefault="001073C5" w:rsidP="001073C5">
            <w:pPr>
              <w:pStyle w:val="berschrift1"/>
              <w:keepNext w:val="0"/>
              <w:keepLines w:val="0"/>
              <w:rPr>
                <w:lang w:val="en-US"/>
              </w:rPr>
            </w:pPr>
            <w:bookmarkStart w:id="434" w:name="_Toc212018008"/>
            <w:bookmarkStart w:id="435" w:name="_Toc213164234"/>
            <w:bookmarkStart w:id="436" w:name="_Toc213179214"/>
            <w:r w:rsidRPr="002E4D67">
              <w:rPr>
                <w:lang w:val="en-US"/>
              </w:rPr>
              <w:t>G.10 Crypto-assets purchase or sale modalities</w:t>
            </w:r>
            <w:bookmarkEnd w:id="434"/>
            <w:bookmarkEnd w:id="435"/>
            <w:bookmarkEnd w:id="436"/>
          </w:p>
        </w:tc>
        <w:tc>
          <w:tcPr>
            <w:tcW w:w="6371" w:type="dxa"/>
          </w:tcPr>
          <w:p w14:paraId="2A61CD22" w14:textId="458A3B89" w:rsidR="00BF0BE4" w:rsidRPr="002E4D67" w:rsidRDefault="00BF0BE4" w:rsidP="00BF0BE4">
            <w:pPr>
              <w:pStyle w:val="StandardWeb"/>
              <w:jc w:val="left"/>
              <w:rPr>
                <w:rFonts w:cstheme="minorHAnsi"/>
                <w:szCs w:val="20"/>
                <w:lang w:val="en-US"/>
              </w:rPr>
            </w:pPr>
            <w:r>
              <w:t>During the public offer, no admission to trading on a trading platform is sought.</w:t>
            </w:r>
            <w:r>
              <w:br/>
              <w:t>After completion of the offer, $WYND may be traded peer-to-peer or on decentralised or centralised exchanges operated by independent third parties.</w:t>
            </w:r>
            <w:r>
              <w:br/>
              <w:t>The issuer does not operate any trading venue, does not intermediate secondary trades and does not guarantee liquidity.”</w:t>
            </w:r>
          </w:p>
          <w:p w14:paraId="3A267FAE" w14:textId="2B803427" w:rsidR="001073C5" w:rsidRPr="002E4D67" w:rsidRDefault="001073C5" w:rsidP="001073C5">
            <w:pPr>
              <w:pStyle w:val="Textkrper"/>
              <w:rPr>
                <w:rFonts w:cstheme="minorHAnsi"/>
                <w:lang w:val="en-US"/>
              </w:rPr>
            </w:pPr>
          </w:p>
        </w:tc>
      </w:tr>
      <w:tr w:rsidR="001073C5" w:rsidRPr="002E4D67" w14:paraId="2EFF3136" w14:textId="77777777" w:rsidTr="00D64090">
        <w:tc>
          <w:tcPr>
            <w:tcW w:w="1985" w:type="dxa"/>
          </w:tcPr>
          <w:p w14:paraId="5784496B" w14:textId="153EBE90" w:rsidR="001073C5" w:rsidRPr="002E4D67" w:rsidRDefault="001073C5" w:rsidP="001073C5">
            <w:pPr>
              <w:pStyle w:val="berschrift1"/>
              <w:keepNext w:val="0"/>
              <w:keepLines w:val="0"/>
              <w:rPr>
                <w:lang w:val="en-US"/>
              </w:rPr>
            </w:pPr>
            <w:bookmarkStart w:id="437" w:name="_Toc212018010"/>
            <w:bookmarkStart w:id="438" w:name="_Toc213164235"/>
            <w:bookmarkStart w:id="439" w:name="_Toc213179215"/>
            <w:r w:rsidRPr="002E4D67">
              <w:rPr>
                <w:lang w:val="en-US"/>
              </w:rPr>
              <w:t>G.11 Crypto-assets transfer restrictions</w:t>
            </w:r>
            <w:bookmarkEnd w:id="437"/>
            <w:bookmarkEnd w:id="438"/>
            <w:bookmarkEnd w:id="439"/>
          </w:p>
        </w:tc>
        <w:tc>
          <w:tcPr>
            <w:tcW w:w="6371" w:type="dxa"/>
          </w:tcPr>
          <w:p w14:paraId="635D8DA0" w14:textId="162677BF" w:rsidR="00BF0BE4" w:rsidRPr="00BF0BE4" w:rsidRDefault="001073C5" w:rsidP="001073C5">
            <w:pPr>
              <w:pStyle w:val="Textkrper"/>
              <w:rPr>
                <w:rFonts w:cstheme="minorHAnsi"/>
                <w:lang w:val="en-US"/>
              </w:rPr>
            </w:pPr>
            <w:bookmarkStart w:id="440" w:name="_cp_change_928"/>
            <w:r w:rsidRPr="002E4D67">
              <w:rPr>
                <w:b/>
                <w:bCs/>
                <w:lang w:val="en-US"/>
              </w:rPr>
              <w:t>Transferability</w:t>
            </w:r>
            <w:r w:rsidRPr="002E4D67">
              <w:rPr>
                <w:rFonts w:cstheme="minorHAnsi"/>
                <w:lang w:val="en-US"/>
              </w:rPr>
              <w:t xml:space="preserve">: </w:t>
            </w:r>
            <w:bookmarkStart w:id="441" w:name="_cp_change_930"/>
            <w:bookmarkEnd w:id="440"/>
            <w:r w:rsidR="00BF0BE4">
              <w:rPr>
                <w:rFonts w:cstheme="minorHAnsi"/>
                <w:lang w:val="en-US"/>
              </w:rPr>
              <w:t xml:space="preserve"> </w:t>
            </w:r>
            <w:r w:rsidR="00BF0BE4">
              <w:t>$WYND tokens are freely transferable between self-custody wallets, subject to applicable AML/KYC requirements.</w:t>
            </w:r>
            <w:r w:rsidR="00BF0BE4">
              <w:br/>
              <w:t>Staked tokens remain non-transferable during the lock-up period.</w:t>
            </w:r>
            <w:r w:rsidR="00BF0BE4" w:rsidRPr="002E4D67">
              <w:rPr>
                <w:b/>
                <w:bCs/>
                <w:lang w:val="en-US"/>
              </w:rPr>
              <w:t xml:space="preserve"> </w:t>
            </w:r>
          </w:p>
          <w:p w14:paraId="71877A74" w14:textId="7F2FAF1B" w:rsidR="001073C5" w:rsidRPr="002E4D67" w:rsidRDefault="001073C5" w:rsidP="001073C5">
            <w:pPr>
              <w:pStyle w:val="Textkrper"/>
              <w:rPr>
                <w:rFonts w:cstheme="minorHAnsi"/>
                <w:lang w:val="en-US"/>
              </w:rPr>
            </w:pPr>
            <w:r w:rsidRPr="002E4D67">
              <w:rPr>
                <w:b/>
                <w:bCs/>
                <w:lang w:val="en-US"/>
              </w:rPr>
              <w:t>No lock-up for purchasers</w:t>
            </w:r>
            <w:r w:rsidRPr="002E4D67">
              <w:rPr>
                <w:rFonts w:cstheme="minorHAnsi"/>
                <w:lang w:val="en-US"/>
              </w:rPr>
              <w:t>: Tokens acquired in the public sale can be transferred immediately after settlement.</w:t>
            </w:r>
            <w:bookmarkStart w:id="442" w:name="_cp_change_929"/>
            <w:bookmarkEnd w:id="441"/>
          </w:p>
          <w:p w14:paraId="757196AB" w14:textId="2E81A10C" w:rsidR="001073C5" w:rsidRPr="002E4D67" w:rsidRDefault="001073C5" w:rsidP="001073C5">
            <w:pPr>
              <w:pStyle w:val="Textkrper"/>
              <w:rPr>
                <w:rFonts w:cstheme="minorHAnsi"/>
                <w:lang w:val="en-US"/>
              </w:rPr>
            </w:pPr>
            <w:bookmarkStart w:id="443" w:name="_cp_change_932"/>
            <w:bookmarkEnd w:id="442"/>
            <w:r w:rsidRPr="002E4D67">
              <w:rPr>
                <w:b/>
                <w:bCs/>
                <w:lang w:val="en-US"/>
              </w:rPr>
              <w:t>Lock-up for early investors and team</w:t>
            </w:r>
            <w:r w:rsidRPr="002E4D67">
              <w:rPr>
                <w:rFonts w:cstheme="minorHAnsi"/>
                <w:lang w:val="en-US"/>
              </w:rPr>
              <w:t>: Pre-seed, seed, strategic, and team allocations are subject to vesting and lock-up schedules (see Vesting Terms).</w:t>
            </w:r>
            <w:bookmarkStart w:id="444" w:name="_cp_change_931"/>
            <w:bookmarkEnd w:id="443"/>
          </w:p>
          <w:bookmarkEnd w:id="444"/>
          <w:p w14:paraId="21AE18EE" w14:textId="77777777" w:rsidR="001073C5" w:rsidRPr="002E4D67" w:rsidRDefault="001073C5" w:rsidP="001073C5">
            <w:pPr>
              <w:pStyle w:val="Textkrper"/>
              <w:rPr>
                <w:rFonts w:cstheme="minorHAnsi"/>
                <w:lang w:val="en-US"/>
              </w:rPr>
            </w:pPr>
          </w:p>
        </w:tc>
      </w:tr>
      <w:tr w:rsidR="001073C5" w:rsidRPr="002E4D67" w14:paraId="0EEBEA2E" w14:textId="77777777" w:rsidTr="00D64090">
        <w:tc>
          <w:tcPr>
            <w:tcW w:w="1985" w:type="dxa"/>
          </w:tcPr>
          <w:p w14:paraId="697D8683" w14:textId="43F2AD6A" w:rsidR="001073C5" w:rsidRPr="002E4D67" w:rsidRDefault="001073C5" w:rsidP="001073C5">
            <w:pPr>
              <w:pStyle w:val="berschrift1"/>
              <w:keepNext w:val="0"/>
              <w:keepLines w:val="0"/>
              <w:rPr>
                <w:lang w:val="en-US"/>
              </w:rPr>
            </w:pPr>
            <w:bookmarkStart w:id="445" w:name="_Toc212018012"/>
            <w:bookmarkStart w:id="446" w:name="_Toc213164236"/>
            <w:bookmarkStart w:id="447" w:name="_Toc213179216"/>
            <w:r w:rsidRPr="002E4D67">
              <w:rPr>
                <w:lang w:val="en-US"/>
              </w:rPr>
              <w:t>G.12 Supply adjustment protocols</w:t>
            </w:r>
            <w:bookmarkEnd w:id="445"/>
            <w:bookmarkEnd w:id="446"/>
            <w:bookmarkEnd w:id="447"/>
          </w:p>
        </w:tc>
        <w:tc>
          <w:tcPr>
            <w:tcW w:w="6371" w:type="dxa"/>
          </w:tcPr>
          <w:p w14:paraId="7E26A622" w14:textId="0C2FC54B" w:rsidR="001073C5" w:rsidRPr="002E4D67" w:rsidRDefault="00BF0BE4" w:rsidP="001073C5">
            <w:pPr>
              <w:pStyle w:val="Textkrper"/>
              <w:rPr>
                <w:rFonts w:cstheme="minorHAnsi"/>
                <w:lang w:val="en-US"/>
              </w:rPr>
            </w:pPr>
            <w:r>
              <w:rPr>
                <w:rFonts w:cstheme="minorHAnsi"/>
                <w:lang w:val="en-US"/>
              </w:rPr>
              <w:t>No</w:t>
            </w:r>
          </w:p>
          <w:p w14:paraId="2BC064E8" w14:textId="77777777" w:rsidR="001073C5" w:rsidRPr="002E4D67" w:rsidRDefault="001073C5" w:rsidP="001073C5">
            <w:pPr>
              <w:pStyle w:val="Textkrper"/>
              <w:rPr>
                <w:rFonts w:cstheme="minorHAnsi"/>
                <w:lang w:val="en-US"/>
              </w:rPr>
            </w:pPr>
          </w:p>
        </w:tc>
      </w:tr>
      <w:tr w:rsidR="001073C5" w:rsidRPr="002E4D67" w14:paraId="3A2645E5" w14:textId="77777777" w:rsidTr="00D64090">
        <w:tc>
          <w:tcPr>
            <w:tcW w:w="1985" w:type="dxa"/>
          </w:tcPr>
          <w:p w14:paraId="55CFB1CD" w14:textId="0457E776" w:rsidR="001073C5" w:rsidRPr="002E4D67" w:rsidRDefault="001073C5" w:rsidP="001073C5">
            <w:pPr>
              <w:pStyle w:val="berschrift1"/>
              <w:keepNext w:val="0"/>
              <w:keepLines w:val="0"/>
              <w:rPr>
                <w:lang w:val="en-US"/>
              </w:rPr>
            </w:pPr>
            <w:bookmarkStart w:id="448" w:name="_Toc212018014"/>
            <w:bookmarkStart w:id="449" w:name="_Toc213164237"/>
            <w:bookmarkStart w:id="450" w:name="_Toc213179217"/>
            <w:r w:rsidRPr="002E4D67">
              <w:rPr>
                <w:lang w:val="en-US"/>
              </w:rPr>
              <w:t>G.13 Supply adjustment mechanisms</w:t>
            </w:r>
            <w:bookmarkEnd w:id="448"/>
            <w:bookmarkEnd w:id="449"/>
            <w:bookmarkEnd w:id="450"/>
          </w:p>
        </w:tc>
        <w:tc>
          <w:tcPr>
            <w:tcW w:w="6371" w:type="dxa"/>
          </w:tcPr>
          <w:p w14:paraId="1BE4F8B7" w14:textId="0C5FEBCB" w:rsidR="001073C5" w:rsidRPr="002E4D67" w:rsidRDefault="00BF0BE4" w:rsidP="001073C5">
            <w:pPr>
              <w:pStyle w:val="Textkrper"/>
              <w:rPr>
                <w:lang w:val="en-US"/>
              </w:rPr>
            </w:pPr>
            <w:r>
              <w:rPr>
                <w:lang w:val="en-US"/>
              </w:rPr>
              <w:t>No</w:t>
            </w:r>
          </w:p>
        </w:tc>
      </w:tr>
      <w:tr w:rsidR="001073C5" w:rsidRPr="002E4D67" w14:paraId="3C080B5A" w14:textId="77777777" w:rsidTr="00D64090">
        <w:tc>
          <w:tcPr>
            <w:tcW w:w="1985" w:type="dxa"/>
          </w:tcPr>
          <w:p w14:paraId="5D1A4CE6" w14:textId="0B1FAE6E" w:rsidR="001073C5" w:rsidRPr="002E4D67" w:rsidRDefault="001073C5" w:rsidP="001073C5">
            <w:pPr>
              <w:pStyle w:val="berschrift1"/>
              <w:keepNext w:val="0"/>
              <w:keepLines w:val="0"/>
              <w:rPr>
                <w:lang w:val="en-US"/>
              </w:rPr>
            </w:pPr>
            <w:bookmarkStart w:id="451" w:name="_Toc212018016"/>
            <w:bookmarkStart w:id="452" w:name="_Toc213164238"/>
            <w:bookmarkStart w:id="453" w:name="_Toc213179218"/>
            <w:r w:rsidRPr="002E4D67">
              <w:rPr>
                <w:lang w:val="en-US"/>
              </w:rPr>
              <w:t>G.14 Token value protection schemes</w:t>
            </w:r>
            <w:bookmarkEnd w:id="451"/>
            <w:bookmarkEnd w:id="452"/>
            <w:bookmarkEnd w:id="453"/>
          </w:p>
        </w:tc>
        <w:tc>
          <w:tcPr>
            <w:tcW w:w="6371" w:type="dxa"/>
          </w:tcPr>
          <w:p w14:paraId="55050119" w14:textId="121285E0" w:rsidR="001073C5" w:rsidRPr="002E4D67" w:rsidRDefault="00BF0BE4" w:rsidP="001073C5">
            <w:pPr>
              <w:pStyle w:val="Textkrper"/>
              <w:rPr>
                <w:rFonts w:cstheme="minorHAnsi"/>
                <w:lang w:val="en-US"/>
              </w:rPr>
            </w:pPr>
            <w:r>
              <w:rPr>
                <w:rFonts w:cstheme="minorHAnsi"/>
                <w:lang w:val="en-US"/>
              </w:rPr>
              <w:t>No</w:t>
            </w:r>
          </w:p>
        </w:tc>
      </w:tr>
      <w:tr w:rsidR="001073C5" w:rsidRPr="002E4D67" w14:paraId="11F6A3E8" w14:textId="77777777" w:rsidTr="00D64090">
        <w:tc>
          <w:tcPr>
            <w:tcW w:w="1985" w:type="dxa"/>
          </w:tcPr>
          <w:p w14:paraId="22622BE7" w14:textId="1170AE41" w:rsidR="001073C5" w:rsidRPr="002E4D67" w:rsidRDefault="001073C5" w:rsidP="001073C5">
            <w:pPr>
              <w:pStyle w:val="berschrift1"/>
              <w:keepNext w:val="0"/>
              <w:keepLines w:val="0"/>
              <w:rPr>
                <w:lang w:val="en-US"/>
              </w:rPr>
            </w:pPr>
            <w:bookmarkStart w:id="454" w:name="_Toc212018018"/>
            <w:bookmarkStart w:id="455" w:name="_Toc213164239"/>
            <w:bookmarkStart w:id="456" w:name="_Toc213179219"/>
            <w:r w:rsidRPr="002E4D67">
              <w:rPr>
                <w:lang w:val="en-US"/>
              </w:rPr>
              <w:t>G.15 Token value protection scheme description</w:t>
            </w:r>
            <w:bookmarkEnd w:id="454"/>
            <w:bookmarkEnd w:id="455"/>
            <w:bookmarkEnd w:id="456"/>
          </w:p>
        </w:tc>
        <w:tc>
          <w:tcPr>
            <w:tcW w:w="6371" w:type="dxa"/>
          </w:tcPr>
          <w:p w14:paraId="2B3B0334" w14:textId="77777777" w:rsidR="001073C5" w:rsidRPr="002E4D67" w:rsidRDefault="001073C5" w:rsidP="001073C5">
            <w:pPr>
              <w:pStyle w:val="Textkrper"/>
              <w:rPr>
                <w:rFonts w:cstheme="minorHAnsi"/>
                <w:lang w:val="en-US"/>
              </w:rPr>
            </w:pPr>
            <w:r w:rsidRPr="002E4D67">
              <w:rPr>
                <w:rFonts w:cstheme="minorHAnsi"/>
                <w:lang w:val="en-US"/>
              </w:rPr>
              <w:t>Not applicable.</w:t>
            </w:r>
          </w:p>
        </w:tc>
      </w:tr>
      <w:tr w:rsidR="001073C5" w:rsidRPr="002E4D67" w14:paraId="31604807" w14:textId="77777777" w:rsidTr="00D64090">
        <w:tc>
          <w:tcPr>
            <w:tcW w:w="1985" w:type="dxa"/>
          </w:tcPr>
          <w:p w14:paraId="55347877" w14:textId="4A154387" w:rsidR="001073C5" w:rsidRPr="002E4D67" w:rsidRDefault="001073C5" w:rsidP="001073C5">
            <w:pPr>
              <w:pStyle w:val="berschrift1"/>
              <w:keepNext w:val="0"/>
              <w:keepLines w:val="0"/>
              <w:rPr>
                <w:lang w:val="en-US"/>
              </w:rPr>
            </w:pPr>
            <w:bookmarkStart w:id="457" w:name="_Toc212018020"/>
            <w:bookmarkStart w:id="458" w:name="_Toc213164240"/>
            <w:bookmarkStart w:id="459" w:name="_Toc213179220"/>
            <w:r w:rsidRPr="002E4D67">
              <w:rPr>
                <w:lang w:val="en-US"/>
              </w:rPr>
              <w:lastRenderedPageBreak/>
              <w:t>G.16 Compensation schemes</w:t>
            </w:r>
            <w:bookmarkEnd w:id="457"/>
            <w:bookmarkEnd w:id="458"/>
            <w:bookmarkEnd w:id="459"/>
          </w:p>
        </w:tc>
        <w:tc>
          <w:tcPr>
            <w:tcW w:w="6371" w:type="dxa"/>
          </w:tcPr>
          <w:p w14:paraId="58FE5DC6" w14:textId="7D50682A" w:rsidR="001073C5" w:rsidRPr="002E4D67" w:rsidRDefault="00BF0BE4" w:rsidP="001073C5">
            <w:pPr>
              <w:pStyle w:val="Textkrper"/>
              <w:rPr>
                <w:rFonts w:cstheme="minorHAnsi"/>
                <w:lang w:val="en-US"/>
              </w:rPr>
            </w:pPr>
            <w:r>
              <w:rPr>
                <w:rFonts w:cstheme="minorHAnsi"/>
                <w:lang w:val="en-US"/>
              </w:rPr>
              <w:t>No</w:t>
            </w:r>
          </w:p>
        </w:tc>
      </w:tr>
      <w:tr w:rsidR="001073C5" w:rsidRPr="002E4D67" w14:paraId="0E3A2953" w14:textId="77777777" w:rsidTr="00D64090">
        <w:tc>
          <w:tcPr>
            <w:tcW w:w="1985" w:type="dxa"/>
          </w:tcPr>
          <w:p w14:paraId="0DD39C65" w14:textId="7BB0F3B7" w:rsidR="001073C5" w:rsidRPr="002E4D67" w:rsidRDefault="001073C5" w:rsidP="001073C5">
            <w:pPr>
              <w:pStyle w:val="berschrift1"/>
              <w:keepNext w:val="0"/>
              <w:keepLines w:val="0"/>
              <w:rPr>
                <w:lang w:val="en-US"/>
              </w:rPr>
            </w:pPr>
            <w:bookmarkStart w:id="460" w:name="_Toc212018022"/>
            <w:bookmarkStart w:id="461" w:name="_Toc213164241"/>
            <w:bookmarkStart w:id="462" w:name="_Toc213179221"/>
            <w:r w:rsidRPr="002E4D67">
              <w:rPr>
                <w:lang w:val="en-US"/>
              </w:rPr>
              <w:t>G.17 Compensation scheme description</w:t>
            </w:r>
            <w:bookmarkEnd w:id="460"/>
            <w:bookmarkEnd w:id="461"/>
            <w:bookmarkEnd w:id="462"/>
          </w:p>
        </w:tc>
        <w:tc>
          <w:tcPr>
            <w:tcW w:w="6371" w:type="dxa"/>
          </w:tcPr>
          <w:p w14:paraId="0A237B34" w14:textId="77777777" w:rsidR="001073C5" w:rsidRPr="002E4D67" w:rsidRDefault="001073C5" w:rsidP="001073C5">
            <w:pPr>
              <w:pStyle w:val="Textkrper"/>
              <w:rPr>
                <w:rFonts w:cstheme="minorHAnsi"/>
                <w:lang w:val="en-US"/>
              </w:rPr>
            </w:pPr>
            <w:r w:rsidRPr="002E4D67">
              <w:rPr>
                <w:rFonts w:cstheme="minorHAnsi"/>
                <w:lang w:val="en-US"/>
              </w:rPr>
              <w:t>Not applicable.</w:t>
            </w:r>
          </w:p>
        </w:tc>
      </w:tr>
      <w:tr w:rsidR="001073C5" w:rsidRPr="002E4D67" w14:paraId="6AE6BC83" w14:textId="77777777" w:rsidTr="00D64090">
        <w:tc>
          <w:tcPr>
            <w:tcW w:w="1985" w:type="dxa"/>
          </w:tcPr>
          <w:p w14:paraId="61483B95" w14:textId="0FB9E86A" w:rsidR="001073C5" w:rsidRPr="002E4D67" w:rsidRDefault="001073C5" w:rsidP="001073C5">
            <w:pPr>
              <w:pStyle w:val="berschrift1"/>
              <w:keepNext w:val="0"/>
              <w:keepLines w:val="0"/>
              <w:rPr>
                <w:lang w:val="en-US"/>
              </w:rPr>
            </w:pPr>
            <w:bookmarkStart w:id="463" w:name="_Toc212018024"/>
            <w:bookmarkStart w:id="464" w:name="_Toc213164242"/>
            <w:bookmarkStart w:id="465" w:name="_Toc213179222"/>
            <w:r w:rsidRPr="002E4D67">
              <w:rPr>
                <w:lang w:val="en-US"/>
              </w:rPr>
              <w:t>G.18 Applicable law</w:t>
            </w:r>
            <w:bookmarkEnd w:id="463"/>
            <w:bookmarkEnd w:id="464"/>
            <w:bookmarkEnd w:id="465"/>
          </w:p>
        </w:tc>
        <w:tc>
          <w:tcPr>
            <w:tcW w:w="6371" w:type="dxa"/>
          </w:tcPr>
          <w:p w14:paraId="2B22A37D" w14:textId="77777777" w:rsidR="001073C5" w:rsidRPr="002E4D67" w:rsidRDefault="001073C5" w:rsidP="001073C5">
            <w:pPr>
              <w:pStyle w:val="Textkrper"/>
              <w:rPr>
                <w:rFonts w:cstheme="minorHAnsi"/>
                <w:lang w:val="en-US"/>
              </w:rPr>
            </w:pPr>
            <w:r w:rsidRPr="002E4D67">
              <w:rPr>
                <w:rFonts w:cstheme="minorHAnsi"/>
                <w:lang w:val="en-US"/>
              </w:rPr>
              <w:t>German law, unless otherwise required by mandatory provisions of applicable consumer protection or private international law.</w:t>
            </w:r>
          </w:p>
        </w:tc>
      </w:tr>
      <w:tr w:rsidR="001073C5" w:rsidRPr="002E4D67" w14:paraId="7AFE2375" w14:textId="77777777" w:rsidTr="00D64090">
        <w:tc>
          <w:tcPr>
            <w:tcW w:w="1985" w:type="dxa"/>
          </w:tcPr>
          <w:p w14:paraId="57D34E15" w14:textId="47AE0ADB" w:rsidR="001073C5" w:rsidRPr="002E4D67" w:rsidRDefault="001073C5" w:rsidP="001073C5">
            <w:pPr>
              <w:pStyle w:val="berschrift1"/>
              <w:keepNext w:val="0"/>
              <w:keepLines w:val="0"/>
              <w:rPr>
                <w:lang w:val="en-US"/>
              </w:rPr>
            </w:pPr>
            <w:bookmarkStart w:id="466" w:name="_Toc212018026"/>
            <w:bookmarkStart w:id="467" w:name="_Toc213164243"/>
            <w:bookmarkStart w:id="468" w:name="_Toc213179223"/>
            <w:r w:rsidRPr="002E4D67">
              <w:rPr>
                <w:lang w:val="en-US"/>
              </w:rPr>
              <w:t>G.19 Competent court</w:t>
            </w:r>
            <w:bookmarkEnd w:id="466"/>
            <w:bookmarkEnd w:id="467"/>
            <w:bookmarkEnd w:id="468"/>
          </w:p>
        </w:tc>
        <w:tc>
          <w:tcPr>
            <w:tcW w:w="6371" w:type="dxa"/>
          </w:tcPr>
          <w:p w14:paraId="60676E44" w14:textId="7669EBEF" w:rsidR="001073C5" w:rsidRPr="002E4D67" w:rsidRDefault="001073C5" w:rsidP="001073C5">
            <w:pPr>
              <w:pStyle w:val="Textkrper"/>
              <w:rPr>
                <w:rFonts w:cstheme="minorHAnsi"/>
                <w:lang w:val="en-US"/>
              </w:rPr>
            </w:pPr>
            <w:r w:rsidRPr="002E4D67">
              <w:rPr>
                <w:rFonts w:cstheme="minorHAnsi"/>
                <w:lang w:val="en-US"/>
              </w:rPr>
              <w:t>The competent court for any legal disputes shall be the courts of Hamburg , Germany, unless otherwise required by mandatory provisions of applicable consumer protection or private international law.</w:t>
            </w:r>
          </w:p>
        </w:tc>
      </w:tr>
      <w:tr w:rsidR="001073C5" w:rsidRPr="002E4D67" w14:paraId="6E1D60E8" w14:textId="77777777" w:rsidTr="001E0459">
        <w:tc>
          <w:tcPr>
            <w:tcW w:w="8356" w:type="dxa"/>
            <w:gridSpan w:val="2"/>
          </w:tcPr>
          <w:p w14:paraId="657C56DE" w14:textId="1FF30801" w:rsidR="001073C5" w:rsidRPr="002E4D67" w:rsidRDefault="001073C5" w:rsidP="001073C5">
            <w:pPr>
              <w:pStyle w:val="berschrift1"/>
              <w:rPr>
                <w:lang w:val="en-US"/>
              </w:rPr>
            </w:pPr>
            <w:bookmarkStart w:id="469" w:name="_Toc213179224"/>
            <w:r w:rsidRPr="002E4D67">
              <w:rPr>
                <w:lang w:val="en-US"/>
              </w:rPr>
              <w:t>Part H — Information on the underlying technology</w:t>
            </w:r>
            <w:bookmarkEnd w:id="469"/>
          </w:p>
        </w:tc>
      </w:tr>
      <w:tr w:rsidR="001073C5" w:rsidRPr="002E4D67" w14:paraId="066C925F" w14:textId="77777777" w:rsidTr="00D64090">
        <w:tc>
          <w:tcPr>
            <w:tcW w:w="1985" w:type="dxa"/>
          </w:tcPr>
          <w:p w14:paraId="2B92CE23" w14:textId="6819B684" w:rsidR="001073C5" w:rsidRPr="002E4D67" w:rsidRDefault="001073C5" w:rsidP="001073C5">
            <w:pPr>
              <w:pStyle w:val="berschrift1"/>
              <w:keepNext w:val="0"/>
              <w:keepLines w:val="0"/>
              <w:rPr>
                <w:lang w:val="en-US"/>
              </w:rPr>
            </w:pPr>
            <w:bookmarkStart w:id="470" w:name="_Toc212018029"/>
            <w:bookmarkStart w:id="471" w:name="_Toc213164244"/>
            <w:bookmarkStart w:id="472" w:name="_Toc213179225"/>
            <w:r w:rsidRPr="002E4D67">
              <w:rPr>
                <w:lang w:val="en-US"/>
              </w:rPr>
              <w:t>H.1 Distributed ledger technology (DLT)</w:t>
            </w:r>
            <w:bookmarkEnd w:id="470"/>
            <w:bookmarkEnd w:id="471"/>
            <w:bookmarkEnd w:id="472"/>
          </w:p>
        </w:tc>
        <w:tc>
          <w:tcPr>
            <w:tcW w:w="6371" w:type="dxa"/>
          </w:tcPr>
          <w:p w14:paraId="39FACC63" w14:textId="77777777" w:rsidR="001073C5" w:rsidRPr="002E4D67" w:rsidRDefault="001073C5" w:rsidP="001073C5">
            <w:pPr>
              <w:pStyle w:val="Textkrper"/>
              <w:rPr>
                <w:rFonts w:cstheme="minorHAnsi"/>
                <w:lang w:val="en-US"/>
              </w:rPr>
            </w:pPr>
            <w:bookmarkStart w:id="473" w:name="_cp_change_971"/>
            <w:bookmarkStart w:id="474" w:name="_cp_change_973"/>
            <w:bookmarkStart w:id="475" w:name="_Toc210663792"/>
            <w:r w:rsidRPr="002E4D67">
              <w:rPr>
                <w:rFonts w:cstheme="minorHAnsi"/>
                <w:lang w:val="en-US"/>
              </w:rPr>
              <w:t>D</w:t>
            </w:r>
            <w:bookmarkEnd w:id="473"/>
            <w:r w:rsidRPr="002E4D67">
              <w:rPr>
                <w:rFonts w:cstheme="minorHAnsi"/>
                <w:lang w:val="en-US"/>
              </w:rPr>
              <w:t>istributed ledger technology (DLT): Ethereum blockchain (ERC-20 standard).</w:t>
            </w:r>
            <w:bookmarkStart w:id="476" w:name="_cp_change_972"/>
            <w:bookmarkEnd w:id="474"/>
            <w:bookmarkEnd w:id="475"/>
          </w:p>
          <w:p w14:paraId="657FCA3A" w14:textId="77777777" w:rsidR="001073C5" w:rsidRPr="002E4D67" w:rsidRDefault="001073C5" w:rsidP="001073C5">
            <w:pPr>
              <w:pStyle w:val="Textkrper"/>
              <w:rPr>
                <w:rFonts w:cstheme="minorHAnsi"/>
                <w:lang w:val="en-US"/>
              </w:rPr>
            </w:pPr>
            <w:bookmarkStart w:id="477" w:name="_cp_change_987"/>
            <w:bookmarkEnd w:id="476"/>
          </w:p>
          <w:p w14:paraId="727E1239" w14:textId="77777777" w:rsidR="001073C5" w:rsidRPr="002E4D67" w:rsidRDefault="001073C5" w:rsidP="001073C5">
            <w:pPr>
              <w:pStyle w:val="Textkrper"/>
              <w:rPr>
                <w:rFonts w:cstheme="minorHAnsi"/>
                <w:lang w:val="en-US"/>
              </w:rPr>
            </w:pPr>
            <w:bookmarkStart w:id="478" w:name="_cp_change_993"/>
            <w:bookmarkEnd w:id="477"/>
          </w:p>
          <w:bookmarkEnd w:id="478"/>
          <w:p w14:paraId="698DF7E9" w14:textId="77777777" w:rsidR="001073C5" w:rsidRPr="002E4D67" w:rsidRDefault="001073C5" w:rsidP="001073C5">
            <w:pPr>
              <w:pStyle w:val="Textkrper"/>
              <w:rPr>
                <w:rFonts w:cstheme="minorHAnsi"/>
                <w:lang w:val="en-US"/>
              </w:rPr>
            </w:pPr>
          </w:p>
        </w:tc>
      </w:tr>
      <w:tr w:rsidR="001073C5" w:rsidRPr="002E4D67" w14:paraId="27D96248" w14:textId="77777777" w:rsidTr="00D64090">
        <w:tc>
          <w:tcPr>
            <w:tcW w:w="1985" w:type="dxa"/>
          </w:tcPr>
          <w:p w14:paraId="11F76DAF" w14:textId="6E5862E0" w:rsidR="001073C5" w:rsidRPr="002E4D67" w:rsidRDefault="001073C5" w:rsidP="001073C5">
            <w:pPr>
              <w:pStyle w:val="berschrift1"/>
              <w:keepNext w:val="0"/>
              <w:keepLines w:val="0"/>
              <w:rPr>
                <w:lang w:val="en-US"/>
              </w:rPr>
            </w:pPr>
            <w:bookmarkStart w:id="479" w:name="_Toc212018031"/>
            <w:bookmarkStart w:id="480" w:name="_Toc213164245"/>
            <w:bookmarkStart w:id="481" w:name="_Toc213179226"/>
            <w:r w:rsidRPr="002E4D67">
              <w:rPr>
                <w:lang w:val="en-US"/>
              </w:rPr>
              <w:t>H.2 Protocols and technical standards</w:t>
            </w:r>
            <w:bookmarkEnd w:id="479"/>
            <w:bookmarkEnd w:id="480"/>
            <w:bookmarkEnd w:id="481"/>
          </w:p>
        </w:tc>
        <w:tc>
          <w:tcPr>
            <w:tcW w:w="6371" w:type="dxa"/>
          </w:tcPr>
          <w:p w14:paraId="5C378C1E" w14:textId="77777777" w:rsidR="001073C5" w:rsidRPr="002E4D67" w:rsidRDefault="001073C5" w:rsidP="001073C5">
            <w:pPr>
              <w:pStyle w:val="Textkrper"/>
              <w:rPr>
                <w:rFonts w:cstheme="minorHAnsi"/>
                <w:lang w:val="en-US"/>
              </w:rPr>
            </w:pPr>
            <w:r w:rsidRPr="002E4D67">
              <w:rPr>
                <w:rFonts w:cstheme="minorHAnsi"/>
                <w:lang w:val="en-US"/>
              </w:rPr>
              <w:t xml:space="preserve">The token follows the </w:t>
            </w:r>
            <w:r w:rsidRPr="002E4D67">
              <w:rPr>
                <w:rStyle w:val="Fett"/>
                <w:rFonts w:cstheme="minorHAnsi"/>
                <w:lang w:val="en-US"/>
              </w:rPr>
              <w:t>ERC-20 standard</w:t>
            </w:r>
            <w:r w:rsidRPr="002E4D67">
              <w:rPr>
                <w:rFonts w:cstheme="minorHAnsi"/>
                <w:lang w:val="en-US"/>
              </w:rPr>
              <w:t>, ensuring compatibility with all major Ethereum wallets, smart contracts, and DeFi infrastructures.</w:t>
            </w:r>
          </w:p>
          <w:p w14:paraId="5A0747EB" w14:textId="77777777" w:rsidR="001073C5" w:rsidRPr="002E4D67" w:rsidRDefault="001073C5" w:rsidP="001073C5">
            <w:pPr>
              <w:pStyle w:val="Textkrper"/>
              <w:rPr>
                <w:rFonts w:cstheme="minorHAnsi"/>
                <w:lang w:val="en-US"/>
              </w:rPr>
            </w:pPr>
            <w:r w:rsidRPr="002E4D67">
              <w:rPr>
                <w:rFonts w:cstheme="minorHAnsi"/>
                <w:lang w:val="en-US"/>
              </w:rPr>
              <w:t xml:space="preserve">Smart contracts are developed in </w:t>
            </w:r>
            <w:r w:rsidRPr="002E4D67">
              <w:rPr>
                <w:rStyle w:val="Fett"/>
                <w:rFonts w:cstheme="minorHAnsi"/>
                <w:lang w:val="en-US"/>
              </w:rPr>
              <w:t>Solidity</w:t>
            </w:r>
            <w:r w:rsidRPr="002E4D67">
              <w:rPr>
                <w:rFonts w:cstheme="minorHAnsi"/>
                <w:lang w:val="en-US"/>
              </w:rPr>
              <w:t xml:space="preserve">, following </w:t>
            </w:r>
            <w:r w:rsidRPr="002E4D67">
              <w:rPr>
                <w:rStyle w:val="Fett"/>
                <w:rFonts w:cstheme="minorHAnsi"/>
                <w:lang w:val="en-US"/>
              </w:rPr>
              <w:t>OpenZeppelin security standards</w:t>
            </w:r>
            <w:r w:rsidRPr="002E4D67">
              <w:rPr>
                <w:rFonts w:cstheme="minorHAnsi"/>
                <w:lang w:val="en-US"/>
              </w:rPr>
              <w:t xml:space="preserve"> and </w:t>
            </w:r>
            <w:r w:rsidRPr="002E4D67">
              <w:rPr>
                <w:rStyle w:val="Fett"/>
                <w:rFonts w:cstheme="minorHAnsi"/>
                <w:lang w:val="en-US"/>
              </w:rPr>
              <w:t>audited prior to deployment</w:t>
            </w:r>
            <w:r w:rsidRPr="002E4D67">
              <w:rPr>
                <w:rFonts w:cstheme="minorHAnsi"/>
                <w:lang w:val="en-US"/>
              </w:rPr>
              <w:t>.</w:t>
            </w:r>
          </w:p>
          <w:p w14:paraId="645EE739" w14:textId="77777777" w:rsidR="001073C5" w:rsidRPr="002E4D67" w:rsidRDefault="001073C5" w:rsidP="001073C5">
            <w:pPr>
              <w:pStyle w:val="Textkrper"/>
              <w:rPr>
                <w:rFonts w:cstheme="minorHAnsi"/>
                <w:lang w:val="en-US"/>
              </w:rPr>
            </w:pPr>
          </w:p>
        </w:tc>
      </w:tr>
      <w:tr w:rsidR="001073C5" w:rsidRPr="002E4D67" w14:paraId="36AD3388" w14:textId="77777777" w:rsidTr="00D64090">
        <w:tc>
          <w:tcPr>
            <w:tcW w:w="1985" w:type="dxa"/>
          </w:tcPr>
          <w:p w14:paraId="5565C676" w14:textId="20693C51" w:rsidR="001073C5" w:rsidRPr="002E4D67" w:rsidRDefault="001073C5" w:rsidP="001073C5">
            <w:pPr>
              <w:pStyle w:val="berschrift1"/>
              <w:keepNext w:val="0"/>
              <w:keepLines w:val="0"/>
              <w:rPr>
                <w:lang w:val="en-US"/>
              </w:rPr>
            </w:pPr>
            <w:bookmarkStart w:id="482" w:name="_Toc212018033"/>
            <w:bookmarkStart w:id="483" w:name="_Toc213164246"/>
            <w:bookmarkStart w:id="484" w:name="_Toc213179227"/>
            <w:r w:rsidRPr="002E4D67">
              <w:rPr>
                <w:lang w:val="en-US"/>
              </w:rPr>
              <w:t>H.3 Technology used</w:t>
            </w:r>
            <w:bookmarkEnd w:id="482"/>
            <w:bookmarkEnd w:id="483"/>
            <w:bookmarkEnd w:id="484"/>
          </w:p>
        </w:tc>
        <w:tc>
          <w:tcPr>
            <w:tcW w:w="6371" w:type="dxa"/>
          </w:tcPr>
          <w:p w14:paraId="3C7B7C07" w14:textId="77777777" w:rsidR="001073C5" w:rsidRPr="002E4D67" w:rsidRDefault="001073C5" w:rsidP="001073C5">
            <w:pPr>
              <w:pStyle w:val="Textkrper"/>
              <w:rPr>
                <w:rFonts w:cstheme="minorHAnsi"/>
                <w:lang w:val="en-US"/>
              </w:rPr>
            </w:pPr>
            <w:r w:rsidRPr="002E4D67">
              <w:rPr>
                <w:rFonts w:cstheme="minorHAnsi"/>
                <w:lang w:val="en-US"/>
              </w:rPr>
              <w:t xml:space="preserve">The issuance and management of $WYND tokens rely on </w:t>
            </w:r>
            <w:r w:rsidRPr="002E4D67">
              <w:rPr>
                <w:rStyle w:val="Fett"/>
                <w:rFonts w:cstheme="minorHAnsi"/>
                <w:lang w:val="en-US"/>
              </w:rPr>
              <w:t>Ethereum’s Proof-of-Stake (PoS) network</w:t>
            </w:r>
            <w:r w:rsidRPr="002E4D67">
              <w:rPr>
                <w:rFonts w:cstheme="minorHAnsi"/>
                <w:lang w:val="en-US"/>
              </w:rPr>
              <w:t>.</w:t>
            </w:r>
            <w:r w:rsidRPr="002E4D67">
              <w:rPr>
                <w:rFonts w:cstheme="minorHAnsi"/>
                <w:lang w:val="en-US"/>
              </w:rPr>
              <w:br/>
              <w:t>All transactions are executed and recorded on-chain, providing full transparency, traceability, and immutability.</w:t>
            </w:r>
          </w:p>
          <w:p w14:paraId="6851E63E" w14:textId="77777777" w:rsidR="001073C5" w:rsidRPr="002E4D67" w:rsidRDefault="001073C5" w:rsidP="001073C5">
            <w:pPr>
              <w:pStyle w:val="Textkrper"/>
              <w:rPr>
                <w:rFonts w:cstheme="minorHAnsi"/>
                <w:lang w:val="en-US"/>
              </w:rPr>
            </w:pPr>
            <w:r w:rsidRPr="002E4D67">
              <w:rPr>
                <w:rFonts w:cstheme="minorHAnsi"/>
                <w:lang w:val="en-US"/>
              </w:rPr>
              <w:t xml:space="preserve">WYND’s platform infrastructure interacts with the blockchain via </w:t>
            </w:r>
            <w:r w:rsidRPr="002E4D67">
              <w:rPr>
                <w:rStyle w:val="Fett"/>
                <w:rFonts w:cstheme="minorHAnsi"/>
                <w:lang w:val="en-US"/>
              </w:rPr>
              <w:t>standard Web3 interfaces</w:t>
            </w:r>
            <w:r w:rsidRPr="002E4D67">
              <w:rPr>
                <w:rFonts w:cstheme="minorHAnsi"/>
                <w:lang w:val="en-US"/>
              </w:rPr>
              <w:t xml:space="preserve"> and </w:t>
            </w:r>
            <w:r w:rsidRPr="002E4D67">
              <w:rPr>
                <w:rStyle w:val="Fett"/>
                <w:rFonts w:cstheme="minorHAnsi"/>
                <w:lang w:val="en-US"/>
              </w:rPr>
              <w:t>multi-signature wallets</w:t>
            </w:r>
            <w:r w:rsidRPr="002E4D67">
              <w:rPr>
                <w:rFonts w:cstheme="minorHAnsi"/>
                <w:lang w:val="en-US"/>
              </w:rPr>
              <w:t xml:space="preserve"> for treasury and ecosystem operations.</w:t>
            </w:r>
          </w:p>
          <w:p w14:paraId="28FAC03A" w14:textId="77777777" w:rsidR="001073C5" w:rsidRPr="002E4D67" w:rsidRDefault="001073C5" w:rsidP="001073C5">
            <w:pPr>
              <w:pStyle w:val="Textkrper"/>
              <w:rPr>
                <w:rFonts w:cstheme="minorHAnsi"/>
                <w:lang w:val="en-US"/>
              </w:rPr>
            </w:pPr>
          </w:p>
        </w:tc>
      </w:tr>
      <w:tr w:rsidR="001073C5" w:rsidRPr="002E4D67" w14:paraId="128BBACC" w14:textId="77777777" w:rsidTr="00D64090">
        <w:tc>
          <w:tcPr>
            <w:tcW w:w="1985" w:type="dxa"/>
          </w:tcPr>
          <w:p w14:paraId="3F3854EE" w14:textId="77419B4B" w:rsidR="001073C5" w:rsidRPr="002E4D67" w:rsidRDefault="001073C5" w:rsidP="001073C5">
            <w:pPr>
              <w:pStyle w:val="berschrift1"/>
              <w:keepNext w:val="0"/>
              <w:keepLines w:val="0"/>
              <w:rPr>
                <w:lang w:val="en-US"/>
              </w:rPr>
            </w:pPr>
            <w:bookmarkStart w:id="485" w:name="_Toc212018035"/>
            <w:bookmarkStart w:id="486" w:name="_Toc213164247"/>
            <w:bookmarkStart w:id="487" w:name="_Toc213179228"/>
            <w:r w:rsidRPr="002E4D67">
              <w:rPr>
                <w:lang w:val="en-US"/>
              </w:rPr>
              <w:lastRenderedPageBreak/>
              <w:t>H.4 Consensus mechanism</w:t>
            </w:r>
            <w:bookmarkEnd w:id="485"/>
            <w:bookmarkEnd w:id="486"/>
            <w:bookmarkEnd w:id="487"/>
          </w:p>
        </w:tc>
        <w:tc>
          <w:tcPr>
            <w:tcW w:w="6371" w:type="dxa"/>
          </w:tcPr>
          <w:p w14:paraId="6F1EFAE3" w14:textId="77777777" w:rsidR="001073C5" w:rsidRPr="002E4D67" w:rsidRDefault="001073C5" w:rsidP="001073C5">
            <w:pPr>
              <w:pStyle w:val="Textkrper"/>
              <w:rPr>
                <w:rFonts w:cstheme="minorHAnsi"/>
                <w:lang w:val="en-US"/>
              </w:rPr>
            </w:pPr>
            <w:r w:rsidRPr="002E4D67">
              <w:rPr>
                <w:rFonts w:cstheme="minorHAnsi"/>
                <w:lang w:val="en-US"/>
              </w:rPr>
              <w:t xml:space="preserve">Ethereum utilizes a </w:t>
            </w:r>
            <w:r w:rsidRPr="002E4D67">
              <w:rPr>
                <w:rStyle w:val="Fett"/>
                <w:rFonts w:cstheme="minorHAnsi"/>
                <w:lang w:val="en-US"/>
              </w:rPr>
              <w:t>Proof-of-Stake (PoS)</w:t>
            </w:r>
            <w:r w:rsidRPr="002E4D67">
              <w:rPr>
                <w:rFonts w:cstheme="minorHAnsi"/>
                <w:lang w:val="en-US"/>
              </w:rPr>
              <w:t xml:space="preserve"> consensus mechanism, where validators secure the network by staking ETH.</w:t>
            </w:r>
            <w:r w:rsidRPr="002E4D67">
              <w:rPr>
                <w:rFonts w:cstheme="minorHAnsi"/>
                <w:lang w:val="en-US"/>
              </w:rPr>
              <w:br/>
              <w:t xml:space="preserve">WYND Capital GmbH does </w:t>
            </w:r>
            <w:r w:rsidRPr="002E4D67">
              <w:rPr>
                <w:rStyle w:val="Fett"/>
                <w:rFonts w:cstheme="minorHAnsi"/>
                <w:lang w:val="en-US"/>
              </w:rPr>
              <w:t>not operate any validators</w:t>
            </w:r>
            <w:r w:rsidRPr="002E4D67">
              <w:rPr>
                <w:rFonts w:cstheme="minorHAnsi"/>
                <w:lang w:val="en-US"/>
              </w:rPr>
              <w:t xml:space="preserve"> and has </w:t>
            </w:r>
            <w:r w:rsidRPr="002E4D67">
              <w:rPr>
                <w:rStyle w:val="Fett"/>
                <w:rFonts w:cstheme="minorHAnsi"/>
                <w:lang w:val="en-US"/>
              </w:rPr>
              <w:t>no control over the consensus process</w:t>
            </w:r>
            <w:r w:rsidRPr="002E4D67">
              <w:rPr>
                <w:rFonts w:cstheme="minorHAnsi"/>
                <w:lang w:val="en-US"/>
              </w:rPr>
              <w:t>.</w:t>
            </w:r>
          </w:p>
        </w:tc>
      </w:tr>
      <w:tr w:rsidR="001073C5" w:rsidRPr="002E4D67" w14:paraId="52FBF864" w14:textId="77777777" w:rsidTr="00D64090">
        <w:tc>
          <w:tcPr>
            <w:tcW w:w="1985" w:type="dxa"/>
          </w:tcPr>
          <w:p w14:paraId="656258AD" w14:textId="45643F2C" w:rsidR="001073C5" w:rsidRPr="002E4D67" w:rsidRDefault="001073C5" w:rsidP="001073C5">
            <w:pPr>
              <w:pStyle w:val="berschrift1"/>
              <w:keepNext w:val="0"/>
              <w:keepLines w:val="0"/>
              <w:rPr>
                <w:lang w:val="en-US"/>
              </w:rPr>
            </w:pPr>
            <w:bookmarkStart w:id="488" w:name="_Toc212018037"/>
            <w:bookmarkStart w:id="489" w:name="_Toc213164248"/>
            <w:bookmarkStart w:id="490" w:name="_Toc213179229"/>
            <w:r w:rsidRPr="002E4D67">
              <w:rPr>
                <w:lang w:val="en-US"/>
              </w:rPr>
              <w:t>H.5 Incentive mechanisms and applicable fees</w:t>
            </w:r>
            <w:bookmarkEnd w:id="488"/>
            <w:bookmarkEnd w:id="489"/>
            <w:bookmarkEnd w:id="490"/>
          </w:p>
        </w:tc>
        <w:tc>
          <w:tcPr>
            <w:tcW w:w="6371" w:type="dxa"/>
          </w:tcPr>
          <w:p w14:paraId="08F0E368" w14:textId="77777777" w:rsidR="001073C5" w:rsidRPr="002E4D67" w:rsidRDefault="001073C5" w:rsidP="001073C5">
            <w:pPr>
              <w:pStyle w:val="Textkrper"/>
              <w:rPr>
                <w:rFonts w:cstheme="minorHAnsi"/>
                <w:lang w:val="en-US"/>
              </w:rPr>
            </w:pPr>
            <w:r w:rsidRPr="002E4D67">
              <w:rPr>
                <w:rFonts w:cstheme="minorHAnsi"/>
                <w:lang w:val="en-US"/>
              </w:rPr>
              <w:t xml:space="preserve">The $WYND Utility Token does </w:t>
            </w:r>
            <w:r w:rsidRPr="002E4D67">
              <w:rPr>
                <w:rStyle w:val="Fett"/>
                <w:rFonts w:cstheme="minorHAnsi"/>
                <w:lang w:val="en-US"/>
              </w:rPr>
              <w:t>not include any internal incentive or reward mechanisms</w:t>
            </w:r>
            <w:r w:rsidRPr="002E4D67">
              <w:rPr>
                <w:rFonts w:cstheme="minorHAnsi"/>
                <w:lang w:val="en-US"/>
              </w:rPr>
              <w:t>.</w:t>
            </w:r>
          </w:p>
          <w:p w14:paraId="1C50B83E" w14:textId="77777777" w:rsidR="001073C5" w:rsidRPr="002E4D67" w:rsidRDefault="001073C5" w:rsidP="001073C5">
            <w:pPr>
              <w:pStyle w:val="Textkrper"/>
              <w:rPr>
                <w:rFonts w:cstheme="minorHAnsi"/>
                <w:lang w:val="en-US"/>
              </w:rPr>
            </w:pPr>
            <w:r w:rsidRPr="002E4D67">
              <w:rPr>
                <w:rFonts w:cstheme="minorHAnsi"/>
                <w:lang w:val="en-US"/>
              </w:rPr>
              <w:t xml:space="preserve">Users pay standard </w:t>
            </w:r>
            <w:r w:rsidRPr="002E4D67">
              <w:rPr>
                <w:rStyle w:val="Fett"/>
                <w:rFonts w:cstheme="minorHAnsi"/>
                <w:lang w:val="en-US"/>
              </w:rPr>
              <w:t>Ethereum gas fees</w:t>
            </w:r>
            <w:r w:rsidRPr="002E4D67">
              <w:rPr>
                <w:rFonts w:cstheme="minorHAnsi"/>
                <w:lang w:val="en-US"/>
              </w:rPr>
              <w:t xml:space="preserve"> for on-chain transactions (e.g., transfers, staking, or service redemption).</w:t>
            </w:r>
            <w:r w:rsidRPr="002E4D67">
              <w:rPr>
                <w:rFonts w:cstheme="minorHAnsi"/>
                <w:lang w:val="en-US"/>
              </w:rPr>
              <w:br/>
              <w:t xml:space="preserve">WYND Capital GmbH does </w:t>
            </w:r>
            <w:r w:rsidRPr="002E4D67">
              <w:rPr>
                <w:rStyle w:val="Fett"/>
                <w:rFonts w:cstheme="minorHAnsi"/>
                <w:lang w:val="en-US"/>
              </w:rPr>
              <w:t>not charge additional network or platform fees</w:t>
            </w:r>
            <w:r w:rsidRPr="002E4D67">
              <w:rPr>
                <w:rFonts w:cstheme="minorHAnsi"/>
                <w:lang w:val="en-US"/>
              </w:rPr>
              <w:t xml:space="preserve"> beyond these blockchain transaction costs.</w:t>
            </w:r>
          </w:p>
          <w:p w14:paraId="5FB8E37C" w14:textId="77777777" w:rsidR="001073C5" w:rsidRPr="002E4D67" w:rsidRDefault="001073C5" w:rsidP="001073C5">
            <w:pPr>
              <w:pStyle w:val="Textkrper"/>
              <w:rPr>
                <w:rFonts w:cstheme="minorHAnsi"/>
                <w:lang w:val="en-US"/>
              </w:rPr>
            </w:pPr>
          </w:p>
        </w:tc>
      </w:tr>
      <w:tr w:rsidR="001073C5" w:rsidRPr="002E4D67" w14:paraId="6B570A0C" w14:textId="77777777" w:rsidTr="00D64090">
        <w:tc>
          <w:tcPr>
            <w:tcW w:w="1985" w:type="dxa"/>
          </w:tcPr>
          <w:p w14:paraId="4FA1CE19" w14:textId="49125AFC" w:rsidR="001073C5" w:rsidRPr="002E4D67" w:rsidRDefault="001073C5" w:rsidP="001073C5">
            <w:pPr>
              <w:pStyle w:val="berschrift1"/>
              <w:keepNext w:val="0"/>
              <w:keepLines w:val="0"/>
              <w:rPr>
                <w:lang w:val="en-US"/>
              </w:rPr>
            </w:pPr>
            <w:bookmarkStart w:id="491" w:name="_Toc212018039"/>
            <w:bookmarkStart w:id="492" w:name="_Toc213164249"/>
            <w:bookmarkStart w:id="493" w:name="_Toc213179230"/>
            <w:r w:rsidRPr="002E4D67">
              <w:rPr>
                <w:lang w:val="en-US"/>
              </w:rPr>
              <w:t>H.6 Use of Distributed Ledger Technology</w:t>
            </w:r>
            <w:bookmarkEnd w:id="491"/>
            <w:bookmarkEnd w:id="492"/>
            <w:bookmarkEnd w:id="493"/>
          </w:p>
        </w:tc>
        <w:tc>
          <w:tcPr>
            <w:tcW w:w="6371" w:type="dxa"/>
          </w:tcPr>
          <w:p w14:paraId="14891E2B" w14:textId="21830924" w:rsidR="001073C5" w:rsidRPr="002E4D67" w:rsidRDefault="001073C5" w:rsidP="001073C5">
            <w:pPr>
              <w:pStyle w:val="Textkrper"/>
              <w:rPr>
                <w:rFonts w:cstheme="minorHAnsi"/>
                <w:lang w:val="en-US"/>
              </w:rPr>
            </w:pPr>
            <w:r w:rsidRPr="002E4D67">
              <w:rPr>
                <w:rFonts w:cstheme="minorHAnsi"/>
                <w:lang w:val="en-US"/>
              </w:rPr>
              <w:t xml:space="preserve">False. </w:t>
            </w:r>
          </w:p>
        </w:tc>
      </w:tr>
      <w:tr w:rsidR="001073C5" w:rsidRPr="002E4D67" w14:paraId="32AFA5F1" w14:textId="77777777" w:rsidTr="00D64090">
        <w:tc>
          <w:tcPr>
            <w:tcW w:w="1985" w:type="dxa"/>
          </w:tcPr>
          <w:p w14:paraId="1D2AEE09" w14:textId="15AE3BA2" w:rsidR="001073C5" w:rsidRPr="002E4D67" w:rsidRDefault="001073C5" w:rsidP="001073C5">
            <w:pPr>
              <w:pStyle w:val="berschrift1"/>
              <w:keepNext w:val="0"/>
              <w:keepLines w:val="0"/>
              <w:rPr>
                <w:lang w:val="en-US"/>
              </w:rPr>
            </w:pPr>
            <w:bookmarkStart w:id="494" w:name="_Toc212018041"/>
            <w:bookmarkStart w:id="495" w:name="_Toc213164250"/>
            <w:bookmarkStart w:id="496" w:name="_Toc213179231"/>
            <w:r w:rsidRPr="002E4D67">
              <w:rPr>
                <w:lang w:val="en-US"/>
              </w:rPr>
              <w:t>H.7 DLT Functionality Description</w:t>
            </w:r>
            <w:bookmarkEnd w:id="494"/>
            <w:bookmarkEnd w:id="495"/>
            <w:bookmarkEnd w:id="496"/>
          </w:p>
        </w:tc>
        <w:tc>
          <w:tcPr>
            <w:tcW w:w="6371" w:type="dxa"/>
          </w:tcPr>
          <w:p w14:paraId="12FA9841" w14:textId="77777777" w:rsidR="001073C5" w:rsidRPr="002E4D67" w:rsidRDefault="001073C5" w:rsidP="001073C5">
            <w:pPr>
              <w:pStyle w:val="Textkrper"/>
              <w:rPr>
                <w:rFonts w:cstheme="minorHAnsi"/>
                <w:lang w:val="en-US"/>
              </w:rPr>
            </w:pPr>
            <w:r w:rsidRPr="002E4D67">
              <w:rPr>
                <w:rFonts w:cstheme="minorHAnsi"/>
                <w:lang w:val="en-US"/>
              </w:rPr>
              <w:t>Not applicable.</w:t>
            </w:r>
          </w:p>
        </w:tc>
      </w:tr>
      <w:tr w:rsidR="001073C5" w:rsidRPr="002E4D67" w14:paraId="6EC245FA" w14:textId="77777777" w:rsidTr="00D64090">
        <w:tc>
          <w:tcPr>
            <w:tcW w:w="1985" w:type="dxa"/>
          </w:tcPr>
          <w:p w14:paraId="5531EB86" w14:textId="40D0FEF6" w:rsidR="001073C5" w:rsidRPr="002E4D67" w:rsidRDefault="001073C5" w:rsidP="001073C5">
            <w:pPr>
              <w:pStyle w:val="berschrift1"/>
              <w:keepNext w:val="0"/>
              <w:keepLines w:val="0"/>
              <w:rPr>
                <w:lang w:val="en-US"/>
              </w:rPr>
            </w:pPr>
            <w:bookmarkStart w:id="497" w:name="_Toc212018043"/>
            <w:bookmarkStart w:id="498" w:name="_Toc213164251"/>
            <w:bookmarkStart w:id="499" w:name="_Toc213179232"/>
            <w:r w:rsidRPr="002E4D67">
              <w:rPr>
                <w:lang w:val="en-US"/>
              </w:rPr>
              <w:t>H.8 Audit</w:t>
            </w:r>
            <w:bookmarkEnd w:id="497"/>
            <w:bookmarkEnd w:id="498"/>
            <w:bookmarkEnd w:id="499"/>
          </w:p>
        </w:tc>
        <w:tc>
          <w:tcPr>
            <w:tcW w:w="6371" w:type="dxa"/>
          </w:tcPr>
          <w:p w14:paraId="77255888" w14:textId="77777777" w:rsidR="001073C5" w:rsidRPr="002E4D67" w:rsidRDefault="001073C5" w:rsidP="001073C5">
            <w:pPr>
              <w:pStyle w:val="Textkrper"/>
              <w:rPr>
                <w:rFonts w:cstheme="minorHAnsi"/>
                <w:lang w:val="en-US"/>
              </w:rPr>
            </w:pPr>
            <w:r w:rsidRPr="002E4D67">
              <w:rPr>
                <w:rFonts w:cstheme="minorHAnsi"/>
                <w:lang w:val="en-US"/>
              </w:rPr>
              <w:t>False.</w:t>
            </w:r>
          </w:p>
        </w:tc>
      </w:tr>
      <w:tr w:rsidR="001073C5" w:rsidRPr="002E4D67" w14:paraId="09838A7A" w14:textId="77777777" w:rsidTr="00D64090">
        <w:tc>
          <w:tcPr>
            <w:tcW w:w="1985" w:type="dxa"/>
          </w:tcPr>
          <w:p w14:paraId="53EB94F3" w14:textId="6A01C374" w:rsidR="001073C5" w:rsidRPr="002E4D67" w:rsidRDefault="001073C5" w:rsidP="001073C5">
            <w:pPr>
              <w:pStyle w:val="berschrift1"/>
              <w:keepNext w:val="0"/>
              <w:keepLines w:val="0"/>
              <w:rPr>
                <w:lang w:val="en-US"/>
              </w:rPr>
            </w:pPr>
            <w:bookmarkStart w:id="500" w:name="_Toc212018045"/>
            <w:bookmarkStart w:id="501" w:name="_Toc213164252"/>
            <w:bookmarkStart w:id="502" w:name="_Toc213179233"/>
            <w:r w:rsidRPr="002E4D67">
              <w:rPr>
                <w:lang w:val="en-US"/>
              </w:rPr>
              <w:t>H.9 Audit outcome</w:t>
            </w:r>
            <w:bookmarkEnd w:id="500"/>
            <w:bookmarkEnd w:id="501"/>
            <w:bookmarkEnd w:id="502"/>
          </w:p>
        </w:tc>
        <w:tc>
          <w:tcPr>
            <w:tcW w:w="6371" w:type="dxa"/>
          </w:tcPr>
          <w:p w14:paraId="0FBE1049" w14:textId="77777777" w:rsidR="001073C5" w:rsidRPr="002E4D67" w:rsidRDefault="001073C5" w:rsidP="001073C5">
            <w:pPr>
              <w:pStyle w:val="Textkrper"/>
              <w:rPr>
                <w:rFonts w:cstheme="minorHAnsi"/>
                <w:lang w:val="en-US"/>
              </w:rPr>
            </w:pPr>
            <w:r w:rsidRPr="002E4D67">
              <w:rPr>
                <w:rFonts w:cstheme="minorHAnsi"/>
                <w:lang w:val="en-US"/>
              </w:rPr>
              <w:t>Not applicable.</w:t>
            </w:r>
          </w:p>
        </w:tc>
      </w:tr>
      <w:tr w:rsidR="001073C5" w:rsidRPr="002E4D67" w14:paraId="2C76515D" w14:textId="77777777" w:rsidTr="00687830">
        <w:tc>
          <w:tcPr>
            <w:tcW w:w="8356" w:type="dxa"/>
            <w:gridSpan w:val="2"/>
          </w:tcPr>
          <w:p w14:paraId="78533DC9" w14:textId="2B14E064" w:rsidR="001073C5" w:rsidRPr="002E4D67" w:rsidRDefault="001073C5" w:rsidP="001073C5">
            <w:pPr>
              <w:pStyle w:val="berschrift1"/>
              <w:rPr>
                <w:lang w:val="en-US"/>
              </w:rPr>
            </w:pPr>
            <w:bookmarkStart w:id="503" w:name="_Toc213179234"/>
            <w:r w:rsidRPr="002E4D67">
              <w:rPr>
                <w:lang w:val="en-US"/>
              </w:rPr>
              <w:t>Part I — Information on risks</w:t>
            </w:r>
            <w:bookmarkEnd w:id="503"/>
          </w:p>
        </w:tc>
      </w:tr>
      <w:tr w:rsidR="001073C5" w:rsidRPr="002E4D67" w14:paraId="0631FA0F" w14:textId="77777777" w:rsidTr="00D64090">
        <w:tc>
          <w:tcPr>
            <w:tcW w:w="1985" w:type="dxa"/>
          </w:tcPr>
          <w:p w14:paraId="742DFD94" w14:textId="5F81F1E0" w:rsidR="001073C5" w:rsidRPr="002E4D67" w:rsidRDefault="001073C5" w:rsidP="001073C5">
            <w:pPr>
              <w:pStyle w:val="berschrift1"/>
              <w:keepNext w:val="0"/>
              <w:keepLines w:val="0"/>
              <w:rPr>
                <w:lang w:val="en-US"/>
              </w:rPr>
            </w:pPr>
            <w:bookmarkStart w:id="504" w:name="_Toc212018048"/>
            <w:bookmarkStart w:id="505" w:name="_Toc213164253"/>
            <w:bookmarkStart w:id="506" w:name="_Toc213179235"/>
            <w:r w:rsidRPr="002E4D67">
              <w:rPr>
                <w:lang w:val="en-US"/>
              </w:rPr>
              <w:t>I.1 Offer-related risks</w:t>
            </w:r>
            <w:bookmarkEnd w:id="504"/>
            <w:bookmarkEnd w:id="505"/>
            <w:bookmarkEnd w:id="506"/>
          </w:p>
        </w:tc>
        <w:tc>
          <w:tcPr>
            <w:tcW w:w="6371" w:type="dxa"/>
          </w:tcPr>
          <w:p w14:paraId="23660403" w14:textId="77777777" w:rsidR="001073C5" w:rsidRDefault="001073C5" w:rsidP="001073C5">
            <w:pPr>
              <w:pStyle w:val="Textkrper"/>
              <w:rPr>
                <w:rFonts w:cstheme="minorHAnsi"/>
                <w:lang w:val="en-US"/>
              </w:rPr>
            </w:pPr>
            <w:r w:rsidRPr="002E4D67">
              <w:rPr>
                <w:rFonts w:cstheme="minorHAnsi"/>
                <w:lang w:val="en-US"/>
              </w:rPr>
              <w:t>Issuer-related Risks:</w:t>
            </w:r>
          </w:p>
          <w:p w14:paraId="13E7616F" w14:textId="7840E777" w:rsidR="00627149" w:rsidRPr="002E4D67" w:rsidRDefault="00627149" w:rsidP="001073C5">
            <w:pPr>
              <w:pStyle w:val="Textkrper"/>
              <w:rPr>
                <w:rFonts w:cstheme="minorHAnsi"/>
                <w:lang w:val="en-US"/>
              </w:rPr>
            </w:pPr>
            <w:r>
              <w:t>The 52-metre WYND superyacht does not yet exist and will be financed exclusively through WYND Bonds issued by MD Capital GmbH. This financing model is separate from the $WYND Utility Token, which does not finance the yacht and represents only prepayment for future services.</w:t>
            </w:r>
          </w:p>
          <w:p w14:paraId="1BB4BAA3" w14:textId="77777777" w:rsidR="001073C5" w:rsidRPr="002E4D67" w:rsidRDefault="001073C5" w:rsidP="001073C5">
            <w:pPr>
              <w:pStyle w:val="Textkrper"/>
              <w:rPr>
                <w:rFonts w:cstheme="minorHAnsi"/>
                <w:lang w:val="en-US"/>
              </w:rPr>
            </w:pPr>
            <w:r w:rsidRPr="002E4D67">
              <w:rPr>
                <w:rFonts w:cstheme="minorHAnsi"/>
                <w:lang w:val="en-US"/>
              </w:rPr>
              <w:t xml:space="preserve">The value and functionality of the $WYND token are directly tied to the actions and success of </w:t>
            </w:r>
            <w:bookmarkStart w:id="507" w:name="_cp_change_996"/>
            <w:r w:rsidRPr="002E4D67">
              <w:rPr>
                <w:rFonts w:cstheme="minorHAnsi"/>
                <w:lang w:val="en-US"/>
              </w:rPr>
              <w:t>WYND</w:t>
            </w:r>
            <w:bookmarkEnd w:id="507"/>
            <w:r w:rsidRPr="002E4D67">
              <w:rPr>
                <w:rFonts w:cstheme="minorHAnsi"/>
                <w:lang w:val="en-US"/>
              </w:rPr>
              <w:t xml:space="preserve"> Capital GmbH. If  </w:t>
            </w:r>
            <w:bookmarkStart w:id="508" w:name="_cp_change_998"/>
            <w:r w:rsidRPr="002E4D67">
              <w:rPr>
                <w:rFonts w:cstheme="minorHAnsi"/>
                <w:lang w:val="en-US"/>
              </w:rPr>
              <w:t>WYND</w:t>
            </w:r>
            <w:bookmarkEnd w:id="508"/>
            <w:r w:rsidRPr="002E4D67">
              <w:rPr>
                <w:rFonts w:cstheme="minorHAnsi"/>
                <w:lang w:val="en-US"/>
              </w:rPr>
              <w:t xml:space="preserve"> Capital GmbH fails, ceases operations, or cannot maintain its - and services, the $WYND token may lose its intended utility and could become worthless.</w:t>
            </w:r>
          </w:p>
          <w:p w14:paraId="7F68C6FE" w14:textId="77777777" w:rsidR="001073C5" w:rsidRPr="002E4D67" w:rsidRDefault="001073C5" w:rsidP="001073C5">
            <w:pPr>
              <w:pStyle w:val="Textkrper"/>
              <w:rPr>
                <w:rFonts w:cstheme="minorHAnsi"/>
                <w:lang w:val="en-US"/>
              </w:rPr>
            </w:pPr>
            <w:r w:rsidRPr="002E4D67">
              <w:rPr>
                <w:rFonts w:cstheme="minorHAnsi"/>
                <w:lang w:val="en-US"/>
              </w:rPr>
              <w:t>Financial Stability and Operational Risks:</w:t>
            </w:r>
          </w:p>
          <w:p w14:paraId="71A6FEEC" w14:textId="77777777" w:rsidR="001073C5" w:rsidRPr="002E4D67" w:rsidRDefault="001073C5" w:rsidP="001073C5">
            <w:pPr>
              <w:pStyle w:val="Textkrper"/>
              <w:rPr>
                <w:rFonts w:cstheme="minorHAnsi"/>
                <w:lang w:val="en-US"/>
              </w:rPr>
            </w:pPr>
            <w:r w:rsidRPr="002E4D67">
              <w:rPr>
                <w:rFonts w:cstheme="minorHAnsi"/>
                <w:lang w:val="en-US"/>
              </w:rPr>
              <w:lastRenderedPageBreak/>
              <w:t xml:space="preserve">The $WYND token's value depends on the financial health and operational capabilities of </w:t>
            </w:r>
            <w:bookmarkStart w:id="509" w:name="_cp_change_1000"/>
            <w:r w:rsidRPr="002E4D67">
              <w:rPr>
                <w:rFonts w:cstheme="minorHAnsi"/>
                <w:lang w:val="en-US"/>
              </w:rPr>
              <w:t>WYND</w:t>
            </w:r>
            <w:bookmarkEnd w:id="509"/>
            <w:r w:rsidRPr="002E4D67">
              <w:rPr>
                <w:rFonts w:cstheme="minorHAnsi"/>
                <w:lang w:val="en-US"/>
              </w:rPr>
              <w:t xml:space="preserve"> Capital GmbH. If the company faces liquidity shortages, funding difficulties, or rising operational costs, it may impact the business model and the </w:t>
            </w:r>
            <w:bookmarkStart w:id="510" w:name="_cp_change_1002"/>
            <w:r w:rsidRPr="002E4D67">
              <w:rPr>
                <w:rFonts w:cstheme="minorHAnsi"/>
                <w:lang w:val="en-US"/>
              </w:rPr>
              <w:t>WYND</w:t>
            </w:r>
            <w:bookmarkEnd w:id="510"/>
            <w:r w:rsidRPr="002E4D67">
              <w:rPr>
                <w:rFonts w:cstheme="minorHAnsi"/>
                <w:lang w:val="en-US"/>
              </w:rPr>
              <w:t xml:space="preserve"> Capital GmbH, thereby reducing the token’s usability and demand.</w:t>
            </w:r>
          </w:p>
          <w:p w14:paraId="2E8E9F4B" w14:textId="77777777" w:rsidR="001073C5" w:rsidRPr="002E4D67" w:rsidRDefault="001073C5" w:rsidP="001073C5">
            <w:pPr>
              <w:pStyle w:val="Textkrper"/>
              <w:rPr>
                <w:rFonts w:cstheme="minorHAnsi"/>
                <w:lang w:val="en-US"/>
              </w:rPr>
            </w:pPr>
            <w:r w:rsidRPr="002E4D67">
              <w:rPr>
                <w:rFonts w:cstheme="minorHAnsi"/>
                <w:lang w:val="en-US"/>
              </w:rPr>
              <w:t>Dependence on Key Personnel:</w:t>
            </w:r>
          </w:p>
          <w:p w14:paraId="3081C7F4" w14:textId="77777777" w:rsidR="001073C5" w:rsidRPr="002E4D67" w:rsidRDefault="001073C5" w:rsidP="001073C5">
            <w:pPr>
              <w:pStyle w:val="Textkrper"/>
              <w:rPr>
                <w:rFonts w:cstheme="minorHAnsi"/>
                <w:lang w:val="en-US"/>
              </w:rPr>
            </w:pPr>
            <w:r w:rsidRPr="002E4D67">
              <w:rPr>
                <w:rFonts w:cstheme="minorHAnsi"/>
                <w:lang w:val="en-US"/>
              </w:rPr>
              <w:t xml:space="preserve">The success of </w:t>
            </w:r>
            <w:bookmarkStart w:id="511" w:name="_cp_change_1004"/>
            <w:r w:rsidRPr="002E4D67">
              <w:rPr>
                <w:rFonts w:cstheme="minorHAnsi"/>
                <w:lang w:val="en-US"/>
              </w:rPr>
              <w:t>WYND</w:t>
            </w:r>
            <w:bookmarkEnd w:id="511"/>
            <w:r w:rsidRPr="002E4D67">
              <w:rPr>
                <w:rFonts w:cstheme="minorHAnsi"/>
                <w:lang w:val="en-US"/>
              </w:rPr>
              <w:t xml:space="preserve"> Capital GmbH heavily relies on its leadership and technical expertise. The loss of key personnel – especially those in executive or technology roles – could disrupt operations and impact the company’s ability to meet its commitments. A lack of succession planning could exacerbate this risk.</w:t>
            </w:r>
          </w:p>
          <w:p w14:paraId="2FA4EC9C" w14:textId="1A947D13" w:rsidR="001073C5" w:rsidRPr="002E4D67" w:rsidRDefault="001073C5" w:rsidP="001073C5">
            <w:pPr>
              <w:pStyle w:val="Textkrper"/>
              <w:rPr>
                <w:rFonts w:cstheme="minorHAnsi"/>
                <w:lang w:val="en-US"/>
              </w:rPr>
            </w:pPr>
            <w:r w:rsidRPr="002E4D67">
              <w:rPr>
                <w:rFonts w:cstheme="minorHAnsi"/>
                <w:lang w:val="en-US"/>
              </w:rPr>
              <w:t>Strategic and Business Model Risks:</w:t>
            </w:r>
            <w:bookmarkStart w:id="512" w:name="_cp_change_1005"/>
          </w:p>
          <w:p w14:paraId="6515DD09" w14:textId="77777777" w:rsidR="001073C5" w:rsidRPr="002E4D67" w:rsidRDefault="001073C5" w:rsidP="001073C5">
            <w:pPr>
              <w:pStyle w:val="Textkrper"/>
              <w:rPr>
                <w:rFonts w:cstheme="minorHAnsi"/>
                <w:lang w:val="en-US"/>
              </w:rPr>
            </w:pPr>
            <w:bookmarkStart w:id="513" w:name="_cp_change_1007"/>
            <w:bookmarkEnd w:id="512"/>
            <w:r w:rsidRPr="002E4D67">
              <w:rPr>
                <w:rFonts w:cstheme="minorHAnsi"/>
                <w:lang w:val="en-US"/>
              </w:rPr>
              <w:t>Dependence on Successful Ecosystem Expansion</w:t>
            </w:r>
            <w:r w:rsidRPr="002E4D67">
              <w:rPr>
                <w:rFonts w:cstheme="minorHAnsi"/>
                <w:lang w:val="en-US"/>
              </w:rPr>
              <w:br/>
            </w:r>
            <w:bookmarkStart w:id="514" w:name="_cp_change_1009"/>
            <w:bookmarkEnd w:id="513"/>
            <w:r w:rsidRPr="002E4D67">
              <w:rPr>
                <w:rFonts w:cstheme="minorHAnsi"/>
                <w:lang w:val="en-US"/>
              </w:rPr>
              <w:t>The WYND ecosystem is designed to grow from the existing Discovery Weeks into a global platform, including a fleet of up to eight yachts and additional lifestyle services. Delays or failures in this expansion could limit the utility of the token.</w:t>
            </w:r>
            <w:bookmarkStart w:id="515" w:name="_cp_change_1008"/>
            <w:bookmarkEnd w:id="514"/>
          </w:p>
          <w:p w14:paraId="412216E9" w14:textId="77777777" w:rsidR="001073C5" w:rsidRPr="002E4D67" w:rsidRDefault="001073C5" w:rsidP="001073C5">
            <w:pPr>
              <w:pStyle w:val="Textkrper"/>
              <w:rPr>
                <w:rFonts w:cstheme="minorHAnsi"/>
                <w:lang w:val="en-US"/>
              </w:rPr>
            </w:pPr>
            <w:bookmarkStart w:id="516" w:name="_cp_change_1010"/>
            <w:bookmarkEnd w:id="515"/>
            <w:r w:rsidRPr="002E4D67">
              <w:rPr>
                <w:rFonts w:cstheme="minorHAnsi"/>
                <w:lang w:val="en-US"/>
              </w:rPr>
              <w:t>Financing Dependencies</w:t>
            </w:r>
          </w:p>
          <w:p w14:paraId="50027475" w14:textId="46D256B4" w:rsidR="00420EE5" w:rsidRDefault="00420EE5" w:rsidP="001073C5">
            <w:pPr>
              <w:pStyle w:val="Textkrper"/>
              <w:rPr>
                <w:rFonts w:cstheme="minorHAnsi"/>
                <w:lang w:val="en-US"/>
              </w:rPr>
            </w:pPr>
            <w:bookmarkStart w:id="517" w:name="_cp_change_1013"/>
            <w:bookmarkEnd w:id="516"/>
            <w:r>
              <w:t>The 52m superyacht is financed exclusively through regulated WYND Bonds issued by MD Capital GmbH and through other non-token financing instruments. The WYND Utility Token does not finance the construction, purchase, refinancing or operation of any yacht and is limited to providing access to services within the WYND ecosystem.</w:t>
            </w:r>
            <w:r>
              <w:br/>
              <w:t>If MD Capital GmbH is unable to secure sufficient bond or other external financing, the deployment of yacht-based services may be delayed or reduced. In such a case, the utility of the token could be affected, even though token proceeds themselves are not used for yacht financing.</w:t>
            </w:r>
          </w:p>
          <w:p w14:paraId="2DD3B838" w14:textId="4A9188AB" w:rsidR="001073C5" w:rsidRPr="002E4D67" w:rsidRDefault="001073C5" w:rsidP="001073C5">
            <w:pPr>
              <w:pStyle w:val="Textkrper"/>
              <w:rPr>
                <w:rFonts w:cstheme="minorHAnsi"/>
                <w:lang w:val="en-US"/>
              </w:rPr>
            </w:pPr>
            <w:r w:rsidRPr="002E4D67">
              <w:rPr>
                <w:rFonts w:cstheme="minorHAnsi"/>
                <w:lang w:val="en-US"/>
              </w:rPr>
              <w:t>Adoption Risk</w:t>
            </w:r>
            <w:bookmarkStart w:id="518" w:name="_cp_change_1015"/>
            <w:bookmarkEnd w:id="517"/>
          </w:p>
          <w:p w14:paraId="704A2DE7" w14:textId="709F6432" w:rsidR="001073C5" w:rsidRPr="002E4D67" w:rsidRDefault="001073C5" w:rsidP="001073C5">
            <w:pPr>
              <w:pStyle w:val="Textkrper"/>
              <w:rPr>
                <w:rFonts w:cstheme="minorHAnsi"/>
                <w:lang w:val="en-US"/>
              </w:rPr>
            </w:pPr>
            <w:r w:rsidRPr="002E4D67">
              <w:rPr>
                <w:rFonts w:cstheme="minorHAnsi"/>
                <w:lang w:val="en-US"/>
              </w:rPr>
              <w:t>The long-term success of the WYND Utility Token depends on strong adoption by members and travelers. If demand for services (yachting, Discovery Weeks, concierge, future jet/heli) is lower than expected, token utility could be reduced.</w:t>
            </w:r>
            <w:bookmarkStart w:id="519" w:name="_cp_change_1014"/>
            <w:bookmarkEnd w:id="518"/>
          </w:p>
          <w:p w14:paraId="2748AFF7" w14:textId="77777777" w:rsidR="001073C5" w:rsidRPr="002E4D67" w:rsidRDefault="001073C5" w:rsidP="001073C5">
            <w:pPr>
              <w:pStyle w:val="Textkrper"/>
              <w:rPr>
                <w:rFonts w:cstheme="minorHAnsi"/>
                <w:lang w:val="en-US"/>
              </w:rPr>
            </w:pPr>
            <w:bookmarkStart w:id="520" w:name="_cp_change_1016"/>
            <w:bookmarkEnd w:id="519"/>
            <w:r w:rsidRPr="002E4D67">
              <w:rPr>
                <w:rFonts w:cstheme="minorHAnsi"/>
                <w:lang w:val="en-US"/>
              </w:rPr>
              <w:t>Competition</w:t>
            </w:r>
            <w:bookmarkStart w:id="521" w:name="_cp_change_1018"/>
            <w:bookmarkEnd w:id="520"/>
          </w:p>
          <w:p w14:paraId="68CFDF37" w14:textId="0FC8D965" w:rsidR="001073C5" w:rsidRPr="002E4D67" w:rsidRDefault="001073C5" w:rsidP="001073C5">
            <w:pPr>
              <w:pStyle w:val="Textkrper"/>
              <w:rPr>
                <w:rFonts w:cstheme="minorHAnsi"/>
                <w:lang w:val="en-US"/>
              </w:rPr>
            </w:pPr>
            <w:r w:rsidRPr="002E4D67">
              <w:rPr>
                <w:rFonts w:cstheme="minorHAnsi"/>
                <w:lang w:val="en-US"/>
              </w:rPr>
              <w:lastRenderedPageBreak/>
              <w:t>The luxury travel and yachting markets are highly competitive. Competing offerings, whether traditional (charters, fractional ownership) or tokenized, may reduce WYND’s market share.</w:t>
            </w:r>
            <w:bookmarkStart w:id="522" w:name="_cp_change_1017"/>
            <w:bookmarkEnd w:id="521"/>
          </w:p>
          <w:p w14:paraId="2ED5883B" w14:textId="77777777" w:rsidR="001073C5" w:rsidRPr="002E4D67" w:rsidRDefault="001073C5" w:rsidP="001073C5">
            <w:pPr>
              <w:pStyle w:val="Textkrper"/>
              <w:rPr>
                <w:rFonts w:cstheme="minorHAnsi"/>
                <w:lang w:val="en-US"/>
              </w:rPr>
            </w:pPr>
            <w:bookmarkStart w:id="523" w:name="_cp_change_1019"/>
            <w:bookmarkEnd w:id="522"/>
            <w:r w:rsidRPr="002E4D67">
              <w:rPr>
                <w:rFonts w:cstheme="minorHAnsi"/>
                <w:lang w:val="en-US"/>
              </w:rPr>
              <w:t>Scalability and Execution</w:t>
            </w:r>
            <w:bookmarkStart w:id="524" w:name="_cp_change_1021"/>
            <w:bookmarkEnd w:id="523"/>
          </w:p>
          <w:p w14:paraId="09B33B31" w14:textId="3F39FE17" w:rsidR="001073C5" w:rsidRPr="002E4D67" w:rsidRDefault="001073C5" w:rsidP="001073C5">
            <w:pPr>
              <w:pStyle w:val="Textkrper"/>
              <w:rPr>
                <w:rFonts w:cstheme="minorHAnsi"/>
                <w:lang w:val="en-US"/>
              </w:rPr>
            </w:pPr>
            <w:r w:rsidRPr="002E4D67">
              <w:rPr>
                <w:rFonts w:cstheme="minorHAnsi"/>
                <w:lang w:val="en-US"/>
              </w:rPr>
              <w:t>The plan to expand to a fleet of 8 yachts worldwide involves significant operational complexity. Any management, staffing, or logistical challenges may impact service quality and token perception.</w:t>
            </w:r>
            <w:bookmarkStart w:id="525" w:name="_cp_change_1020"/>
            <w:bookmarkEnd w:id="524"/>
          </w:p>
          <w:bookmarkEnd w:id="525"/>
          <w:p w14:paraId="3BF28418" w14:textId="77777777" w:rsidR="001073C5" w:rsidRPr="002E4D67" w:rsidRDefault="001073C5" w:rsidP="001073C5">
            <w:pPr>
              <w:pStyle w:val="Textkrper"/>
              <w:rPr>
                <w:rFonts w:cstheme="minorHAnsi"/>
                <w:lang w:val="en-US"/>
              </w:rPr>
            </w:pPr>
            <w:r w:rsidRPr="002E4D67">
              <w:rPr>
                <w:rFonts w:cstheme="minorHAnsi"/>
                <w:lang w:val="en-US"/>
              </w:rPr>
              <w:t>Risk of Competitors:</w:t>
            </w:r>
          </w:p>
          <w:p w14:paraId="61C25685" w14:textId="77777777" w:rsidR="001073C5" w:rsidRPr="002E4D67" w:rsidRDefault="001073C5" w:rsidP="001073C5">
            <w:pPr>
              <w:pStyle w:val="Textkrper"/>
              <w:rPr>
                <w:rFonts w:cstheme="minorHAnsi"/>
                <w:lang w:val="en-US"/>
              </w:rPr>
            </w:pPr>
            <w:r w:rsidRPr="002E4D67">
              <w:rPr>
                <w:rFonts w:cstheme="minorHAnsi"/>
                <w:lang w:val="en-US"/>
              </w:rPr>
              <w:t xml:space="preserve">Other companies may replicate or improve upon WYND Capital’s business model, potentially reducing its market share. </w:t>
            </w:r>
          </w:p>
          <w:p w14:paraId="777E294B" w14:textId="77777777" w:rsidR="001073C5" w:rsidRPr="002E4D67" w:rsidRDefault="001073C5" w:rsidP="001073C5">
            <w:pPr>
              <w:pStyle w:val="Textkrper"/>
              <w:rPr>
                <w:rFonts w:cstheme="minorHAnsi"/>
                <w:lang w:val="en-US"/>
              </w:rPr>
            </w:pPr>
            <w:r w:rsidRPr="002E4D67">
              <w:rPr>
                <w:rFonts w:cstheme="minorHAnsi"/>
                <w:lang w:val="en-US"/>
              </w:rPr>
              <w:t>Regulatory Compliance and Legal Risks (MiCAR Compliance):</w:t>
            </w:r>
          </w:p>
          <w:p w14:paraId="3E03218D" w14:textId="77777777" w:rsidR="001073C5" w:rsidRPr="002E4D67" w:rsidRDefault="001073C5" w:rsidP="001073C5">
            <w:pPr>
              <w:pStyle w:val="Textkrper"/>
              <w:rPr>
                <w:rFonts w:cstheme="minorHAnsi"/>
                <w:lang w:val="en-US"/>
              </w:rPr>
            </w:pPr>
            <w:r w:rsidRPr="002E4D67">
              <w:rPr>
                <w:rFonts w:cstheme="minorHAnsi"/>
                <w:lang w:val="en-US"/>
              </w:rPr>
              <w:t>As the issuer of a utility token, WYND Capital GmbH must comply with Markets in Crypto-Assets Regulation (MiCAR) and other relevant financial regulations. Changes in regulatory frameworks specific to token issuance, tokenized financial instruments, or financial services may impose additional compliance obligations, operational constraints, or legal risks. Regulatory non-compliance could impact the functionality of $WYND and its market acceptance.</w:t>
            </w:r>
          </w:p>
          <w:p w14:paraId="192AE914" w14:textId="77777777" w:rsidR="001073C5" w:rsidRPr="002E4D67" w:rsidRDefault="001073C5" w:rsidP="001073C5">
            <w:pPr>
              <w:pStyle w:val="Textkrper"/>
              <w:rPr>
                <w:rFonts w:cstheme="minorHAnsi"/>
                <w:lang w:val="en-US"/>
              </w:rPr>
            </w:pPr>
            <w:r w:rsidRPr="002E4D67">
              <w:rPr>
                <w:rFonts w:cstheme="minorHAnsi"/>
                <w:lang w:val="en-US"/>
              </w:rPr>
              <w:t>Custodial and Reimbursement Risks:</w:t>
            </w:r>
          </w:p>
          <w:p w14:paraId="1E3C695A" w14:textId="77777777" w:rsidR="001073C5" w:rsidRPr="002E4D67" w:rsidRDefault="001073C5" w:rsidP="001073C5">
            <w:pPr>
              <w:pStyle w:val="Textkrper"/>
              <w:rPr>
                <w:rFonts w:cstheme="minorHAnsi"/>
                <w:lang w:val="en-US"/>
              </w:rPr>
            </w:pPr>
            <w:r w:rsidRPr="002E4D67">
              <w:rPr>
                <w:rFonts w:cstheme="minorHAnsi"/>
                <w:lang w:val="en-US"/>
              </w:rPr>
              <w:t>The $WYND token is primarily designed for self-custody, meaning purchasers are responsible for securing their assets. If tokens are stored with third-party custodians, there is a risk of insolvency, security breaches, or operational failures affecting token retrieval. Additionally, reimbursement mechanisms mandated under MiCAR require proper execution, and delays or technical issues may affect timely refunds.</w:t>
            </w:r>
          </w:p>
          <w:p w14:paraId="0EA2674F" w14:textId="77777777" w:rsidR="001073C5" w:rsidRPr="002E4D67" w:rsidRDefault="001073C5" w:rsidP="001073C5">
            <w:pPr>
              <w:pStyle w:val="Textkrper"/>
              <w:rPr>
                <w:rFonts w:cstheme="minorHAnsi"/>
                <w:lang w:val="en-US"/>
              </w:rPr>
            </w:pPr>
            <w:r w:rsidRPr="002E4D67">
              <w:rPr>
                <w:rFonts w:cstheme="minorHAnsi"/>
                <w:lang w:val="en-US"/>
              </w:rPr>
              <w:t>Price Risk and Token Allocation:</w:t>
            </w:r>
          </w:p>
          <w:p w14:paraId="0761EB5D" w14:textId="77777777" w:rsidR="001073C5" w:rsidRPr="002E4D67" w:rsidRDefault="001073C5" w:rsidP="001073C5">
            <w:pPr>
              <w:pStyle w:val="Textkrper"/>
              <w:rPr>
                <w:rFonts w:cstheme="minorHAnsi"/>
                <w:lang w:val="en-US"/>
              </w:rPr>
            </w:pPr>
            <w:r w:rsidRPr="002E4D67">
              <w:rPr>
                <w:rFonts w:cstheme="minorHAnsi"/>
                <w:lang w:val="en-US"/>
              </w:rPr>
              <w:t>The public offering comprises only a fraction of the total tokens in circulation. A significant portion of tokens was allocated at earlier, lower prices (or for free), which could impact price stability. Any large-scale sales by early holders or team members after vesting periods could create downward pressure on the token price.</w:t>
            </w:r>
          </w:p>
          <w:p w14:paraId="534B1687" w14:textId="58428C01" w:rsidR="001073C5" w:rsidRPr="002E4D67" w:rsidRDefault="001073C5" w:rsidP="001073C5">
            <w:pPr>
              <w:pStyle w:val="Textkrper"/>
              <w:rPr>
                <w:rFonts w:cstheme="minorHAnsi"/>
                <w:lang w:val="en-US"/>
              </w:rPr>
            </w:pPr>
            <w:r w:rsidRPr="002E4D67">
              <w:rPr>
                <w:rFonts w:cstheme="minorHAnsi"/>
                <w:lang w:val="en-US"/>
              </w:rPr>
              <w:t>Liquidity and Listing Risks:</w:t>
            </w:r>
            <w:bookmarkStart w:id="526" w:name="_cp_change_1022"/>
          </w:p>
          <w:p w14:paraId="02AC22EC" w14:textId="77777777" w:rsidR="001073C5" w:rsidRPr="002E4D67" w:rsidRDefault="001073C5" w:rsidP="001073C5">
            <w:pPr>
              <w:pStyle w:val="Textkrper"/>
              <w:rPr>
                <w:rFonts w:cstheme="minorHAnsi"/>
                <w:lang w:val="en-US"/>
              </w:rPr>
            </w:pPr>
            <w:bookmarkStart w:id="527" w:name="_cp_change_1025"/>
            <w:bookmarkEnd w:id="526"/>
            <w:r w:rsidRPr="002E4D67">
              <w:rPr>
                <w:rFonts w:cstheme="minorHAnsi"/>
                <w:lang w:val="en-US"/>
              </w:rPr>
              <w:lastRenderedPageBreak/>
              <w:t>No Guarantee of Listing – There is no assurance that $WYND will be listed on secondary markets.</w:t>
            </w:r>
            <w:bookmarkStart w:id="528" w:name="_cp_change_1027"/>
            <w:bookmarkEnd w:id="527"/>
            <w:r w:rsidRPr="002E4D67">
              <w:rPr>
                <w:rFonts w:cstheme="minorHAnsi"/>
                <w:lang w:val="en-US"/>
              </w:rPr>
              <w:t xml:space="preserve"> Limited Liquidity – Even if listed, trading volumes may be low, making it difficult to sell tokens at favorable terms.</w:t>
            </w:r>
            <w:bookmarkStart w:id="529" w:name="_cp_change_1026"/>
            <w:bookmarkEnd w:id="528"/>
          </w:p>
          <w:p w14:paraId="20C45E1A" w14:textId="77777777" w:rsidR="001073C5" w:rsidRPr="002E4D67" w:rsidRDefault="001073C5" w:rsidP="001073C5">
            <w:pPr>
              <w:pStyle w:val="Textkrper"/>
              <w:rPr>
                <w:rFonts w:cstheme="minorHAnsi"/>
                <w:lang w:val="en-US"/>
              </w:rPr>
            </w:pPr>
            <w:bookmarkStart w:id="530" w:name="_cp_change_1029"/>
            <w:bookmarkEnd w:id="529"/>
            <w:r w:rsidRPr="002E4D67">
              <w:rPr>
                <w:rFonts w:cstheme="minorHAnsi"/>
                <w:lang w:val="en-US"/>
              </w:rPr>
              <w:t>Market Volatility – Listing could expose token holders to strong price fluctuations.</w:t>
            </w:r>
            <w:bookmarkStart w:id="531" w:name="_cp_change_1028"/>
            <w:bookmarkEnd w:id="530"/>
          </w:p>
          <w:bookmarkEnd w:id="531"/>
          <w:p w14:paraId="285ABEED" w14:textId="77777777" w:rsidR="001073C5" w:rsidRPr="002E4D67" w:rsidRDefault="001073C5" w:rsidP="001073C5">
            <w:pPr>
              <w:pStyle w:val="Textkrper"/>
              <w:rPr>
                <w:rFonts w:cstheme="minorHAnsi"/>
                <w:lang w:val="en-US"/>
              </w:rPr>
            </w:pPr>
            <w:r w:rsidRPr="002E4D67">
              <w:rPr>
                <w:rFonts w:cstheme="minorHAnsi"/>
                <w:lang w:val="en-US"/>
              </w:rPr>
              <w:t>Risk of Conflicts of Interest:</w:t>
            </w:r>
          </w:p>
          <w:p w14:paraId="3C5B4C69" w14:textId="77777777" w:rsidR="001073C5" w:rsidRPr="002E4D67" w:rsidRDefault="001073C5" w:rsidP="001073C5">
            <w:pPr>
              <w:pStyle w:val="Textkrper"/>
              <w:rPr>
                <w:rFonts w:cstheme="minorHAnsi"/>
                <w:lang w:val="en-US"/>
              </w:rPr>
            </w:pPr>
            <w:bookmarkStart w:id="532" w:name="_cp_change_1033"/>
            <w:r w:rsidRPr="002E4D67">
              <w:rPr>
                <w:rFonts w:cstheme="minorHAnsi"/>
                <w:lang w:val="en-US"/>
              </w:rPr>
              <w:t>Issuer Dual Roles – WYND Capital GmbH issues tokens while also managing the ecosystem, which may create conflicts in allocation or pricing decisions.</w:t>
            </w:r>
            <w:bookmarkStart w:id="533" w:name="_cp_change_1035"/>
            <w:bookmarkEnd w:id="532"/>
            <w:r w:rsidRPr="002E4D67">
              <w:rPr>
                <w:rFonts w:cstheme="minorHAnsi"/>
                <w:lang w:val="en-US"/>
              </w:rPr>
              <w:t>Related Entities – WYND Bonds are issued by MD Capital GmbH (parent company), creating potential overlaps of strategic interests.</w:t>
            </w:r>
            <w:bookmarkStart w:id="534" w:name="_cp_change_1034"/>
            <w:bookmarkEnd w:id="533"/>
          </w:p>
          <w:p w14:paraId="158F2878" w14:textId="77777777" w:rsidR="001073C5" w:rsidRPr="002E4D67" w:rsidRDefault="001073C5" w:rsidP="001073C5">
            <w:pPr>
              <w:pStyle w:val="Textkrper"/>
              <w:rPr>
                <w:rFonts w:cstheme="minorHAnsi"/>
                <w:lang w:val="en-US"/>
              </w:rPr>
            </w:pPr>
            <w:bookmarkStart w:id="535" w:name="_cp_change_1037"/>
            <w:bookmarkEnd w:id="534"/>
            <w:r w:rsidRPr="002E4D67">
              <w:rPr>
                <w:rFonts w:cstheme="minorHAnsi"/>
                <w:lang w:val="en-US"/>
              </w:rPr>
              <w:t>Decision-Making – Management discretion (e.g., token allocation, service pricing) may not always align with individual token holder expectations.</w:t>
            </w:r>
            <w:bookmarkStart w:id="536" w:name="_cp_change_1036"/>
            <w:bookmarkEnd w:id="535"/>
          </w:p>
          <w:bookmarkEnd w:id="536"/>
          <w:p w14:paraId="301052A5" w14:textId="77777777" w:rsidR="001073C5" w:rsidRPr="002E4D67" w:rsidRDefault="001073C5" w:rsidP="001073C5">
            <w:pPr>
              <w:pStyle w:val="Textkrper"/>
              <w:rPr>
                <w:rFonts w:cstheme="minorHAnsi"/>
                <w:lang w:val="en-US"/>
              </w:rPr>
            </w:pPr>
            <w:r w:rsidRPr="002E4D67">
              <w:rPr>
                <w:rFonts w:cstheme="minorHAnsi"/>
                <w:lang w:val="en-US"/>
              </w:rPr>
              <w:t>Management and Governance Risks:</w:t>
            </w:r>
          </w:p>
          <w:p w14:paraId="7D3F4F9E" w14:textId="77777777" w:rsidR="001073C5" w:rsidRPr="002E4D67" w:rsidRDefault="001073C5" w:rsidP="001073C5">
            <w:pPr>
              <w:pStyle w:val="Textkrper"/>
              <w:rPr>
                <w:rFonts w:cstheme="minorHAnsi"/>
                <w:lang w:val="en-US"/>
              </w:rPr>
            </w:pPr>
            <w:r w:rsidRPr="002E4D67">
              <w:rPr>
                <w:rFonts w:cstheme="minorHAnsi"/>
                <w:lang w:val="en-US"/>
              </w:rPr>
              <w:t>Poor strategic decisions, lack of governance oversight, or mismanagement of financial and operational resources could affect the long-term viability of WYND Capital GmbH and, consequently, the $WYND token. In an extreme case, insolvency of WYND Capital GmbH could render the $WYND token non-functional.</w:t>
            </w:r>
          </w:p>
          <w:p w14:paraId="00DE4BC6" w14:textId="77777777" w:rsidR="001073C5" w:rsidRPr="002E4D67" w:rsidRDefault="001073C5" w:rsidP="001073C5">
            <w:pPr>
              <w:pStyle w:val="Textkrper"/>
              <w:rPr>
                <w:rFonts w:cstheme="minorHAnsi"/>
                <w:lang w:val="en-US"/>
              </w:rPr>
            </w:pPr>
            <w:r w:rsidRPr="002E4D67">
              <w:rPr>
                <w:rFonts w:cstheme="minorHAnsi"/>
                <w:lang w:val="en-US"/>
              </w:rPr>
              <w:t>Reputation Risk:</w:t>
            </w:r>
          </w:p>
          <w:p w14:paraId="6B0DA9A4" w14:textId="77777777" w:rsidR="001073C5" w:rsidRPr="002E4D67" w:rsidRDefault="001073C5" w:rsidP="001073C5">
            <w:pPr>
              <w:pStyle w:val="Textkrper"/>
              <w:rPr>
                <w:rFonts w:cstheme="minorHAnsi"/>
                <w:lang w:val="en-US"/>
              </w:rPr>
            </w:pPr>
            <w:r w:rsidRPr="002E4D67">
              <w:rPr>
                <w:rFonts w:cstheme="minorHAnsi"/>
                <w:lang w:val="en-US"/>
              </w:rPr>
              <w:t>Negative publicity, legal disputes, regulatory investigations, or service failures could impact the reputation of WYND Capital GmbH, leading to loss of confidence in WYND Capital GmbH and the $WYND token. A deterioration in public perception may reduce demand and adoption of the token.</w:t>
            </w:r>
          </w:p>
        </w:tc>
      </w:tr>
      <w:tr w:rsidR="001073C5" w:rsidRPr="002E4D67" w14:paraId="73CF6E8D" w14:textId="77777777" w:rsidTr="00D64090">
        <w:tc>
          <w:tcPr>
            <w:tcW w:w="1985" w:type="dxa"/>
          </w:tcPr>
          <w:p w14:paraId="715C3E21" w14:textId="11F7C8D6" w:rsidR="001073C5" w:rsidRPr="002E4D67" w:rsidRDefault="001073C5" w:rsidP="001073C5">
            <w:pPr>
              <w:pStyle w:val="berschrift1"/>
              <w:keepNext w:val="0"/>
              <w:keepLines w:val="0"/>
              <w:rPr>
                <w:lang w:val="en-US"/>
              </w:rPr>
            </w:pPr>
            <w:bookmarkStart w:id="537" w:name="_Toc212018050"/>
            <w:bookmarkStart w:id="538" w:name="_Toc213164254"/>
            <w:bookmarkStart w:id="539" w:name="_Toc213179236"/>
            <w:r w:rsidRPr="002E4D67">
              <w:rPr>
                <w:lang w:val="en-US"/>
              </w:rPr>
              <w:lastRenderedPageBreak/>
              <w:t>I.2 Issuer-related risks</w:t>
            </w:r>
            <w:bookmarkEnd w:id="537"/>
            <w:bookmarkEnd w:id="538"/>
            <w:bookmarkEnd w:id="539"/>
          </w:p>
        </w:tc>
        <w:tc>
          <w:tcPr>
            <w:tcW w:w="6371" w:type="dxa"/>
          </w:tcPr>
          <w:p w14:paraId="7AC85E1D" w14:textId="77777777" w:rsidR="001073C5" w:rsidRPr="002E4D67" w:rsidRDefault="001073C5" w:rsidP="001073C5">
            <w:pPr>
              <w:pStyle w:val="Textkrper"/>
              <w:rPr>
                <w:rFonts w:cstheme="minorHAnsi"/>
                <w:lang w:val="en-US"/>
              </w:rPr>
            </w:pPr>
            <w:r w:rsidRPr="002E4D67">
              <w:rPr>
                <w:rFonts w:cstheme="minorHAnsi"/>
                <w:lang w:val="en-US"/>
              </w:rPr>
              <w:t>(Not applicable, as the issuer is the same as the offeror (see I.1))</w:t>
            </w:r>
          </w:p>
        </w:tc>
      </w:tr>
      <w:tr w:rsidR="001073C5" w:rsidRPr="002E4D67" w14:paraId="05C11D84" w14:textId="77777777" w:rsidTr="00D64090">
        <w:tc>
          <w:tcPr>
            <w:tcW w:w="1985" w:type="dxa"/>
          </w:tcPr>
          <w:p w14:paraId="28ED1FD5" w14:textId="6E9C2698" w:rsidR="001073C5" w:rsidRPr="002E4D67" w:rsidRDefault="001073C5" w:rsidP="001073C5">
            <w:pPr>
              <w:pStyle w:val="berschrift1"/>
              <w:keepNext w:val="0"/>
              <w:keepLines w:val="0"/>
              <w:rPr>
                <w:lang w:val="en-US"/>
              </w:rPr>
            </w:pPr>
            <w:bookmarkStart w:id="540" w:name="_Toc212018052"/>
            <w:bookmarkStart w:id="541" w:name="_Toc213164255"/>
            <w:bookmarkStart w:id="542" w:name="_Toc213179237"/>
            <w:r w:rsidRPr="002E4D67">
              <w:rPr>
                <w:lang w:val="en-US"/>
              </w:rPr>
              <w:t>I.3 Crypto-assets-related risks</w:t>
            </w:r>
            <w:bookmarkEnd w:id="540"/>
            <w:bookmarkEnd w:id="541"/>
            <w:bookmarkEnd w:id="542"/>
          </w:p>
        </w:tc>
        <w:tc>
          <w:tcPr>
            <w:tcW w:w="6371" w:type="dxa"/>
          </w:tcPr>
          <w:p w14:paraId="2BEAFB55" w14:textId="77777777" w:rsidR="001073C5" w:rsidRPr="002E4D67" w:rsidRDefault="001073C5" w:rsidP="001073C5">
            <w:pPr>
              <w:pStyle w:val="Textkrper"/>
              <w:rPr>
                <w:rFonts w:cstheme="minorHAnsi"/>
                <w:lang w:val="en-US"/>
              </w:rPr>
            </w:pPr>
            <w:r w:rsidRPr="002E4D67">
              <w:rPr>
                <w:rFonts w:cstheme="minorHAnsi"/>
                <w:lang w:val="en-US"/>
              </w:rPr>
              <w:t>The $WYND token, as a utility token, is subject to various risks that may affect its valuation, liquidity, security, regulatory status, and overall usability. The following risks outline key factors that could impact the token and its holders.</w:t>
            </w:r>
          </w:p>
          <w:p w14:paraId="70B8B442" w14:textId="77777777" w:rsidR="001073C5" w:rsidRPr="002E4D67" w:rsidRDefault="001073C5" w:rsidP="001073C5">
            <w:pPr>
              <w:pStyle w:val="Textkrper"/>
              <w:rPr>
                <w:rFonts w:cstheme="minorHAnsi"/>
                <w:lang w:val="en-US"/>
              </w:rPr>
            </w:pPr>
            <w:r w:rsidRPr="002E4D67">
              <w:rPr>
                <w:rFonts w:cstheme="minorHAnsi"/>
                <w:lang w:val="en-US"/>
              </w:rPr>
              <w:lastRenderedPageBreak/>
              <w:t>Market Volatility:</w:t>
            </w:r>
          </w:p>
          <w:p w14:paraId="78E833A5" w14:textId="77777777" w:rsidR="001073C5" w:rsidRPr="002E4D67" w:rsidRDefault="001073C5" w:rsidP="001073C5">
            <w:pPr>
              <w:pStyle w:val="Textkrper"/>
              <w:rPr>
                <w:rFonts w:cstheme="minorHAnsi"/>
                <w:lang w:val="en-US"/>
              </w:rPr>
            </w:pPr>
            <w:r w:rsidRPr="002E4D67">
              <w:rPr>
                <w:rFonts w:cstheme="minorHAnsi"/>
                <w:lang w:val="en-US"/>
              </w:rPr>
              <w:t>The market price of $WYND (if any) may fluctuate significantly due to demand - and broader crypto-market conditions. Volatility may result from external economic factors, regulatory changes, or shifts in investor sentiment. These fluctuations can cause token prices to drop and even become worthless within a very short period of time.</w:t>
            </w:r>
          </w:p>
          <w:p w14:paraId="7F1241E4" w14:textId="77777777" w:rsidR="001073C5" w:rsidRPr="002E4D67" w:rsidRDefault="001073C5" w:rsidP="001073C5">
            <w:pPr>
              <w:pStyle w:val="Textkrper"/>
              <w:rPr>
                <w:rFonts w:cstheme="minorHAnsi"/>
                <w:lang w:val="en-US"/>
              </w:rPr>
            </w:pPr>
            <w:r w:rsidRPr="002E4D67">
              <w:rPr>
                <w:rFonts w:cstheme="minorHAnsi"/>
                <w:lang w:val="en-US"/>
              </w:rPr>
              <w:t>Limited Fungibility and Trading Risks:</w:t>
            </w:r>
          </w:p>
          <w:p w14:paraId="7A76B8E4" w14:textId="1F13BF62" w:rsidR="001073C5" w:rsidRPr="002E4D67" w:rsidRDefault="001073C5" w:rsidP="001073C5">
            <w:pPr>
              <w:pStyle w:val="Textkrper"/>
              <w:rPr>
                <w:rFonts w:cstheme="minorHAnsi"/>
                <w:lang w:val="en-US"/>
              </w:rPr>
            </w:pPr>
            <w:r w:rsidRPr="002E4D67">
              <w:rPr>
                <w:rFonts w:cstheme="minorHAnsi"/>
                <w:lang w:val="en-US"/>
              </w:rPr>
              <w:t xml:space="preserve">At the time of the public offering of $WYND tokens, there is no established market price, as the tokens will not be immediately listed on an exchange. </w:t>
            </w:r>
            <w:r w:rsidR="00420EE5">
              <w:t>After the Token Generation Event (TGE), third-party trading platforms may, at their own discretion, decide to admit the $WYND token to trading. WYND Capital GmbH does not request or guarantee any such listing, and there is no assurance that a liquid secondary market will develop</w:t>
            </w:r>
            <w:r w:rsidRPr="002E4D67">
              <w:rPr>
                <w:rFonts w:cstheme="minorHAnsi"/>
                <w:lang w:val="en-US"/>
              </w:rPr>
              <w:t>). However, there is no guarantee of sufficient liquidity or trading volume, which could impact the ability of holders to sell or trade $WYND tokens at desired prices. Additionally, price discovery in early trading phases may be subject to high volatility, price slippage, and potential market manipulation.</w:t>
            </w:r>
          </w:p>
          <w:p w14:paraId="37A006C7" w14:textId="77777777" w:rsidR="001073C5" w:rsidRPr="002E4D67" w:rsidRDefault="001073C5" w:rsidP="001073C5">
            <w:pPr>
              <w:pStyle w:val="Textkrper"/>
              <w:rPr>
                <w:rFonts w:cstheme="minorHAnsi"/>
                <w:lang w:val="en-US"/>
              </w:rPr>
            </w:pPr>
            <w:r w:rsidRPr="002E4D67">
              <w:rPr>
                <w:rFonts w:cstheme="minorHAnsi"/>
                <w:lang w:val="en-US"/>
              </w:rPr>
              <w:t>Limited Utility and Usability Outside the WYND Capital GmbH environment:</w:t>
            </w:r>
          </w:p>
          <w:p w14:paraId="1130D531" w14:textId="77777777" w:rsidR="001073C5" w:rsidRPr="002E4D67" w:rsidRDefault="001073C5" w:rsidP="001073C5">
            <w:pPr>
              <w:pStyle w:val="Textkrper"/>
              <w:rPr>
                <w:rFonts w:cstheme="minorHAnsi"/>
                <w:lang w:val="en-US"/>
              </w:rPr>
            </w:pPr>
            <w:r w:rsidRPr="002E4D67">
              <w:rPr>
                <w:rFonts w:cstheme="minorHAnsi"/>
                <w:lang w:val="en-US"/>
              </w:rPr>
              <w:t>While $WYND tokens will be freely transferable, their value and demand are directly tied to service usage, determined by WYND Capital GmbH. The $WYND token is not redeemable for fiat currency and cannot be used for services other than the ones offered by WYND Capital GmbH</w:t>
            </w:r>
          </w:p>
          <w:p w14:paraId="7B1D3520" w14:textId="26C9E9F5" w:rsidR="001073C5" w:rsidRPr="002E4D67" w:rsidRDefault="001073C5" w:rsidP="001073C5">
            <w:pPr>
              <w:pStyle w:val="Textkrper"/>
              <w:rPr>
                <w:rFonts w:cstheme="minorHAnsi"/>
                <w:lang w:val="en-US"/>
              </w:rPr>
            </w:pPr>
            <w:r w:rsidRPr="002E4D67">
              <w:rPr>
                <w:rFonts w:cstheme="minorHAnsi"/>
                <w:lang w:val="en-US"/>
              </w:rPr>
              <w:t>Dependence on Blockchain Infrastructure:</w:t>
            </w:r>
            <w:bookmarkStart w:id="543" w:name="_cp_change_1038"/>
          </w:p>
          <w:p w14:paraId="5EE560E1" w14:textId="61A2F657" w:rsidR="001073C5" w:rsidRPr="002E4D67" w:rsidRDefault="001073C5" w:rsidP="001073C5">
            <w:pPr>
              <w:pStyle w:val="Textkrper"/>
              <w:rPr>
                <w:rFonts w:cstheme="minorHAnsi"/>
                <w:lang w:val="en-US"/>
              </w:rPr>
            </w:pPr>
            <w:bookmarkStart w:id="544" w:name="_cp_change_1041"/>
            <w:bookmarkEnd w:id="543"/>
            <w:r w:rsidRPr="002E4D67">
              <w:rPr>
                <w:lang w:val="en-US"/>
              </w:rPr>
              <w:t>Ethereum Dependence</w:t>
            </w:r>
            <w:r w:rsidRPr="002E4D67">
              <w:rPr>
                <w:rFonts w:cstheme="minorHAnsi"/>
                <w:lang w:val="en-US"/>
              </w:rPr>
              <w:t xml:space="preserve"> – $WYND runs on the Ethereum blockchain; disruptions, forks, or failures of Ethereum may directly impact token functionality.</w:t>
            </w:r>
            <w:bookmarkStart w:id="545" w:name="_cp_change_1040"/>
            <w:bookmarkEnd w:id="544"/>
          </w:p>
          <w:p w14:paraId="20C28C1B" w14:textId="7BB8F73C" w:rsidR="001073C5" w:rsidRPr="002E4D67" w:rsidRDefault="001073C5" w:rsidP="001073C5">
            <w:pPr>
              <w:pStyle w:val="Textkrper"/>
              <w:rPr>
                <w:rFonts w:cstheme="minorHAnsi"/>
                <w:lang w:val="en-US"/>
              </w:rPr>
            </w:pPr>
            <w:bookmarkStart w:id="546" w:name="_cp_change_1043"/>
            <w:bookmarkEnd w:id="545"/>
            <w:r w:rsidRPr="002E4D67">
              <w:rPr>
                <w:lang w:val="en-US"/>
              </w:rPr>
              <w:t>Gas Fees</w:t>
            </w:r>
            <w:r w:rsidRPr="002E4D67">
              <w:rPr>
                <w:rFonts w:cstheme="minorHAnsi"/>
                <w:lang w:val="en-US"/>
              </w:rPr>
              <w:t xml:space="preserve"> – Transaction costs (gas) are variable and may rise significantly, affecting the usability of tokens for smaller transactions.</w:t>
            </w:r>
            <w:bookmarkStart w:id="547" w:name="_cp_change_1042"/>
            <w:bookmarkEnd w:id="546"/>
          </w:p>
          <w:p w14:paraId="62859EA8" w14:textId="09A419B5" w:rsidR="001073C5" w:rsidRPr="002E4D67" w:rsidRDefault="001073C5" w:rsidP="001073C5">
            <w:pPr>
              <w:pStyle w:val="Textkrper"/>
              <w:rPr>
                <w:rFonts w:cstheme="minorHAnsi"/>
                <w:lang w:val="en-US"/>
              </w:rPr>
            </w:pPr>
            <w:bookmarkStart w:id="548" w:name="_cp_change_1045"/>
            <w:bookmarkEnd w:id="547"/>
            <w:r w:rsidRPr="002E4D67">
              <w:rPr>
                <w:lang w:val="en-US"/>
              </w:rPr>
              <w:t>Smart Contract Risk</w:t>
            </w:r>
            <w:r w:rsidRPr="002E4D67">
              <w:rPr>
                <w:rFonts w:cstheme="minorHAnsi"/>
                <w:lang w:val="en-US"/>
              </w:rPr>
              <w:t xml:space="preserve"> – Although audited, vulnerabilities in Ethereum or in the smart contracts cannot be entirely excluded.</w:t>
            </w:r>
            <w:bookmarkStart w:id="549" w:name="_cp_change_1044"/>
            <w:bookmarkEnd w:id="548"/>
          </w:p>
          <w:bookmarkEnd w:id="549"/>
          <w:p w14:paraId="3B246B5F" w14:textId="77777777" w:rsidR="001073C5" w:rsidRPr="002E4D67" w:rsidRDefault="001073C5" w:rsidP="001073C5">
            <w:pPr>
              <w:pStyle w:val="Textkrper"/>
              <w:rPr>
                <w:rFonts w:cstheme="minorHAnsi"/>
                <w:lang w:val="en-US"/>
              </w:rPr>
            </w:pPr>
            <w:r w:rsidRPr="002E4D67">
              <w:rPr>
                <w:rFonts w:cstheme="minorHAnsi"/>
                <w:lang w:val="en-US"/>
              </w:rPr>
              <w:lastRenderedPageBreak/>
              <w:t>Blockchain Security Risks:</w:t>
            </w:r>
          </w:p>
          <w:p w14:paraId="7F37FB44" w14:textId="77777777" w:rsidR="001073C5" w:rsidRPr="002E4D67" w:rsidRDefault="001073C5" w:rsidP="001073C5">
            <w:pPr>
              <w:pStyle w:val="Textkrper"/>
              <w:rPr>
                <w:rFonts w:cstheme="minorHAnsi"/>
                <w:lang w:val="en-US"/>
              </w:rPr>
            </w:pPr>
            <w:r w:rsidRPr="002E4D67">
              <w:rPr>
                <w:rFonts w:cstheme="minorHAnsi"/>
                <w:lang w:val="en-US"/>
              </w:rPr>
              <w:t>As a blockchain-based asset, the $WYND token is exposed to cybersecurity risks, including hacking, data breaches, or smart contract vulnerabilities. If the underlying smart contracts contain flaws, they could be exploited by malicious actors, leading to financial losses for token holders. Despite security audits, unforeseen vulnerabilities could still pose risks to token security and functionality.</w:t>
            </w:r>
          </w:p>
          <w:p w14:paraId="21AF6527" w14:textId="77777777" w:rsidR="001073C5" w:rsidRPr="002E4D67" w:rsidRDefault="001073C5" w:rsidP="001073C5">
            <w:pPr>
              <w:pStyle w:val="Textkrper"/>
              <w:rPr>
                <w:rFonts w:cstheme="minorHAnsi"/>
                <w:lang w:val="en-US"/>
              </w:rPr>
            </w:pPr>
            <w:r w:rsidRPr="002E4D67">
              <w:rPr>
                <w:rFonts w:cstheme="minorHAnsi"/>
                <w:lang w:val="en-US"/>
              </w:rPr>
              <w:t>Jurisdictional Restrictions:</w:t>
            </w:r>
          </w:p>
          <w:p w14:paraId="60C84FF9" w14:textId="77777777" w:rsidR="001073C5" w:rsidRPr="002E4D67" w:rsidRDefault="001073C5" w:rsidP="001073C5">
            <w:pPr>
              <w:pStyle w:val="Textkrper"/>
              <w:rPr>
                <w:rFonts w:cstheme="minorHAnsi"/>
                <w:lang w:val="en-US"/>
              </w:rPr>
            </w:pPr>
            <w:r w:rsidRPr="002E4D67">
              <w:rPr>
                <w:rFonts w:cstheme="minorHAnsi"/>
                <w:lang w:val="en-US"/>
              </w:rPr>
              <w:t>Regulations regarding crypto-assets vary across different jurisdictions. Some countries may impose restrictions on the trading, holding, or usage of $WYND tokens. Purchasers must ensure that they comply with local legal requirements before acquiring or using the token.</w:t>
            </w:r>
          </w:p>
          <w:p w14:paraId="7FB0F63E" w14:textId="77777777" w:rsidR="001073C5" w:rsidRPr="002E4D67" w:rsidRDefault="001073C5" w:rsidP="001073C5">
            <w:pPr>
              <w:pStyle w:val="Textkrper"/>
              <w:rPr>
                <w:rFonts w:cstheme="minorHAnsi"/>
                <w:lang w:val="en-US"/>
              </w:rPr>
            </w:pPr>
            <w:r w:rsidRPr="002E4D67">
              <w:rPr>
                <w:rFonts w:cstheme="minorHAnsi"/>
                <w:lang w:val="en-US"/>
              </w:rPr>
              <w:t>Innovation and Market Relevance Risk:</w:t>
            </w:r>
          </w:p>
          <w:p w14:paraId="42E3B337" w14:textId="640DAFEB" w:rsidR="001073C5" w:rsidRPr="002E4D67" w:rsidRDefault="001073C5" w:rsidP="001073C5">
            <w:pPr>
              <w:pStyle w:val="Textkrper"/>
              <w:rPr>
                <w:rFonts w:cstheme="minorHAnsi"/>
                <w:lang w:val="en-US"/>
              </w:rPr>
            </w:pPr>
            <w:r w:rsidRPr="002E4D67">
              <w:rPr>
                <w:rFonts w:cstheme="minorHAnsi"/>
                <w:lang w:val="en-US"/>
              </w:rPr>
              <w:t xml:space="preserve">The blockchain and tokenization industry is evolving rapidly. Emerging technologies, new regulatory frameworks, or competitive solutions may affect the long-term relevance of the $WYND token. If </w:t>
            </w:r>
            <w:r w:rsidR="00CE7AA2">
              <w:rPr>
                <w:rFonts w:cstheme="minorHAnsi"/>
                <w:lang w:val="en-US"/>
              </w:rPr>
              <w:t xml:space="preserve">WYND </w:t>
            </w:r>
            <w:r w:rsidRPr="002E4D67">
              <w:rPr>
                <w:rFonts w:cstheme="minorHAnsi"/>
                <w:lang w:val="en-US"/>
              </w:rPr>
              <w:t xml:space="preserve"> Capital GmbH fails to continuously adapt to industry trends, the token’s value and demand may decline over time.</w:t>
            </w:r>
          </w:p>
          <w:p w14:paraId="345F2736" w14:textId="77777777" w:rsidR="001073C5" w:rsidRPr="002E4D67" w:rsidRDefault="001073C5" w:rsidP="001073C5">
            <w:pPr>
              <w:pStyle w:val="Textkrper"/>
              <w:rPr>
                <w:rFonts w:cstheme="minorHAnsi"/>
                <w:lang w:val="en-US"/>
              </w:rPr>
            </w:pPr>
            <w:r w:rsidRPr="002E4D67">
              <w:rPr>
                <w:rFonts w:cstheme="minorHAnsi"/>
                <w:lang w:val="en-US"/>
              </w:rPr>
              <w:t>Lack of Ownership or Governance Rights:</w:t>
            </w:r>
          </w:p>
          <w:p w14:paraId="4170217A" w14:textId="3A1460E7" w:rsidR="001073C5" w:rsidRPr="002E4D67" w:rsidRDefault="001073C5" w:rsidP="001073C5">
            <w:pPr>
              <w:pStyle w:val="Textkrper"/>
              <w:rPr>
                <w:rFonts w:cstheme="minorHAnsi"/>
                <w:lang w:val="en-US"/>
              </w:rPr>
            </w:pPr>
            <w:r w:rsidRPr="002E4D67">
              <w:rPr>
                <w:rFonts w:cstheme="minorHAnsi"/>
                <w:lang w:val="en-US"/>
              </w:rPr>
              <w:t xml:space="preserve">Holding $WYND tokens does not grant equity, voting rights, or decision-making control over </w:t>
            </w:r>
            <w:r w:rsidR="00CE7AA2">
              <w:rPr>
                <w:rFonts w:cstheme="minorHAnsi"/>
                <w:lang w:val="en-US"/>
              </w:rPr>
              <w:t xml:space="preserve">WYND </w:t>
            </w:r>
            <w:r w:rsidRPr="002E4D67">
              <w:rPr>
                <w:rFonts w:cstheme="minorHAnsi"/>
                <w:lang w:val="en-US"/>
              </w:rPr>
              <w:t>Capital GmbH. Token holders have no influence over business strategies and pricing models. Changes to - fees, services, or token utility may occur without direct input from $WYND holders.</w:t>
            </w:r>
          </w:p>
        </w:tc>
      </w:tr>
      <w:tr w:rsidR="001073C5" w:rsidRPr="002E4D67" w14:paraId="7321B588" w14:textId="77777777" w:rsidTr="00D64090">
        <w:tc>
          <w:tcPr>
            <w:tcW w:w="1985" w:type="dxa"/>
          </w:tcPr>
          <w:p w14:paraId="01012F7A" w14:textId="1BEBA690" w:rsidR="001073C5" w:rsidRPr="002E4D67" w:rsidRDefault="001073C5" w:rsidP="001073C5">
            <w:pPr>
              <w:pStyle w:val="berschrift1"/>
              <w:keepNext w:val="0"/>
              <w:keepLines w:val="0"/>
              <w:rPr>
                <w:lang w:val="en-US"/>
              </w:rPr>
            </w:pPr>
            <w:bookmarkStart w:id="550" w:name="_Toc212018054"/>
            <w:bookmarkStart w:id="551" w:name="_Toc213164256"/>
            <w:bookmarkStart w:id="552" w:name="_Toc213179238"/>
            <w:r w:rsidRPr="002E4D67">
              <w:rPr>
                <w:lang w:val="en-US"/>
              </w:rPr>
              <w:lastRenderedPageBreak/>
              <w:t>I.4 Project implementation-related risks</w:t>
            </w:r>
            <w:bookmarkEnd w:id="550"/>
            <w:bookmarkEnd w:id="551"/>
            <w:bookmarkEnd w:id="552"/>
          </w:p>
        </w:tc>
        <w:tc>
          <w:tcPr>
            <w:tcW w:w="6371" w:type="dxa"/>
          </w:tcPr>
          <w:p w14:paraId="2586FAF1" w14:textId="77777777" w:rsidR="001073C5" w:rsidRPr="002E4D67" w:rsidRDefault="001073C5" w:rsidP="001073C5">
            <w:pPr>
              <w:pStyle w:val="Textkrper"/>
              <w:rPr>
                <w:rFonts w:cstheme="minorHAnsi"/>
                <w:lang w:val="en-US"/>
              </w:rPr>
            </w:pPr>
            <w:r w:rsidRPr="002E4D67">
              <w:rPr>
                <w:rFonts w:cstheme="minorHAnsi"/>
                <w:lang w:val="en-US"/>
              </w:rPr>
              <w:t>Development and Deployment Risk</w:t>
            </w:r>
          </w:p>
          <w:p w14:paraId="4655BC0E" w14:textId="77777777" w:rsidR="001073C5" w:rsidRPr="002E4D67" w:rsidRDefault="001073C5" w:rsidP="001073C5">
            <w:pPr>
              <w:pStyle w:val="Textkrper"/>
              <w:rPr>
                <w:rFonts w:cstheme="minorHAnsi"/>
                <w:lang w:val="en-US"/>
              </w:rPr>
            </w:pPr>
            <w:r w:rsidRPr="002E4D67">
              <w:rPr>
                <w:rFonts w:cstheme="minorHAnsi"/>
                <w:lang w:val="en-US"/>
              </w:rPr>
              <w:t>If core functionalities are not developed or deployed as planned, the token’s utility may be diminished.</w:t>
            </w:r>
          </w:p>
          <w:p w14:paraId="621C3585" w14:textId="77777777" w:rsidR="001073C5" w:rsidRPr="002E4D67" w:rsidRDefault="001073C5" w:rsidP="001073C5">
            <w:pPr>
              <w:pStyle w:val="Textkrper"/>
              <w:rPr>
                <w:rFonts w:cstheme="minorHAnsi"/>
                <w:lang w:val="en-US"/>
              </w:rPr>
            </w:pPr>
            <w:r w:rsidRPr="002E4D67">
              <w:rPr>
                <w:rFonts w:cstheme="minorHAnsi"/>
                <w:lang w:val="en-US"/>
              </w:rPr>
              <w:t>Scalability and Performance Risk</w:t>
            </w:r>
          </w:p>
          <w:p w14:paraId="6F3E1BF6" w14:textId="77777777" w:rsidR="001073C5" w:rsidRPr="002E4D67" w:rsidRDefault="001073C5" w:rsidP="001073C5">
            <w:pPr>
              <w:pStyle w:val="Textkrper"/>
              <w:rPr>
                <w:rFonts w:cstheme="minorHAnsi"/>
                <w:lang w:val="en-US"/>
              </w:rPr>
            </w:pPr>
            <w:r w:rsidRPr="002E4D67">
              <w:rPr>
                <w:rFonts w:cstheme="minorHAnsi"/>
                <w:lang w:val="en-US"/>
              </w:rPr>
              <w:t xml:space="preserve">High transaction volumes or unexpected demand surges could lead to network congestion, slower processing times, or degraded - performance during the transfer of tokens. These issues could limit the </w:t>
            </w:r>
            <w:r w:rsidRPr="002E4D67">
              <w:rPr>
                <w:rFonts w:cstheme="minorHAnsi"/>
                <w:lang w:val="en-US"/>
              </w:rPr>
              <w:lastRenderedPageBreak/>
              <w:t>usability of the $WYND token, affecting user experience and overall market confidence.</w:t>
            </w:r>
          </w:p>
          <w:p w14:paraId="3CC394BE" w14:textId="77777777" w:rsidR="001073C5" w:rsidRPr="002E4D67" w:rsidRDefault="001073C5" w:rsidP="001073C5">
            <w:pPr>
              <w:pStyle w:val="Textkrper"/>
              <w:rPr>
                <w:rFonts w:cstheme="minorHAnsi"/>
                <w:lang w:val="en-US"/>
              </w:rPr>
            </w:pPr>
            <w:r w:rsidRPr="002E4D67">
              <w:rPr>
                <w:rFonts w:cstheme="minorHAnsi"/>
                <w:lang w:val="en-US"/>
              </w:rPr>
              <w:t>Dependence on External Partnerships and Service Providers</w:t>
            </w:r>
          </w:p>
          <w:p w14:paraId="362E17EA" w14:textId="2FF572C3" w:rsidR="001073C5" w:rsidRPr="002E4D67" w:rsidRDefault="00CE7AA2" w:rsidP="001073C5">
            <w:pPr>
              <w:pStyle w:val="Textkrper"/>
              <w:rPr>
                <w:rFonts w:cstheme="minorHAnsi"/>
                <w:lang w:val="en-US"/>
              </w:rPr>
            </w:pPr>
            <w:r>
              <w:rPr>
                <w:rFonts w:cstheme="minorHAnsi"/>
                <w:lang w:val="en-US"/>
              </w:rPr>
              <w:t>WYND</w:t>
            </w:r>
            <w:r w:rsidR="001073C5" w:rsidRPr="002E4D67">
              <w:rPr>
                <w:rFonts w:cstheme="minorHAnsi"/>
                <w:lang w:val="en-US"/>
              </w:rPr>
              <w:t xml:space="preserve"> Capital GmbH relies on third-party service providers and technology partners for critical functions, including blockchain infrastructure, liquidity provision, and regulatory compliance services. Failures, security breaches, insolvency, or operational issues affecting these external providers could disrupt services, impacting the utility and availability of the $WYND token.</w:t>
            </w:r>
          </w:p>
          <w:p w14:paraId="21582C26" w14:textId="77777777" w:rsidR="001073C5" w:rsidRPr="002E4D67" w:rsidRDefault="001073C5" w:rsidP="001073C5">
            <w:pPr>
              <w:pStyle w:val="Textkrper"/>
              <w:rPr>
                <w:rFonts w:cstheme="minorHAnsi"/>
                <w:lang w:val="en-US"/>
              </w:rPr>
            </w:pPr>
            <w:r w:rsidRPr="002E4D67">
              <w:rPr>
                <w:rFonts w:cstheme="minorHAnsi"/>
                <w:lang w:val="en-US"/>
              </w:rPr>
              <w:t>Funding Risks</w:t>
            </w:r>
          </w:p>
          <w:p w14:paraId="4EA273DD" w14:textId="777C6308" w:rsidR="001073C5" w:rsidRPr="002E4D67" w:rsidRDefault="00CE7AA2" w:rsidP="001073C5">
            <w:pPr>
              <w:pStyle w:val="Textkrper"/>
              <w:rPr>
                <w:rFonts w:cstheme="minorHAnsi"/>
                <w:lang w:val="en-US"/>
              </w:rPr>
            </w:pPr>
            <w:r>
              <w:rPr>
                <w:rFonts w:cstheme="minorHAnsi"/>
                <w:lang w:val="en-US"/>
              </w:rPr>
              <w:t>WYND</w:t>
            </w:r>
            <w:r w:rsidR="001073C5" w:rsidRPr="002E4D67">
              <w:rPr>
                <w:rFonts w:cstheme="minorHAnsi"/>
                <w:lang w:val="en-US"/>
              </w:rPr>
              <w:t xml:space="preserve"> Capital GmbH depends on revenues from its business model, external funding, and market adoption. Economic downturns, reduced investor confidence, or unexpected financial challenges could impact the company’s ability to sustain - operations and technological advancements. If </w:t>
            </w:r>
            <w:r>
              <w:rPr>
                <w:rFonts w:cstheme="minorHAnsi"/>
                <w:lang w:val="en-US"/>
              </w:rPr>
              <w:t>WYND C</w:t>
            </w:r>
            <w:r w:rsidR="001073C5" w:rsidRPr="002E4D67">
              <w:rPr>
                <w:rFonts w:cstheme="minorHAnsi"/>
                <w:lang w:val="en-US"/>
              </w:rPr>
              <w:t>apital GmbH is unable to secure sufficient funding, it may be forced to scale back - development, reducing the $WYND token’s long-term viability.</w:t>
            </w:r>
          </w:p>
          <w:p w14:paraId="4943B8C1" w14:textId="77777777" w:rsidR="001073C5" w:rsidRPr="002E4D67" w:rsidRDefault="001073C5" w:rsidP="001073C5">
            <w:pPr>
              <w:pStyle w:val="Textkrper"/>
              <w:rPr>
                <w:rFonts w:cstheme="minorHAnsi"/>
                <w:lang w:val="en-US"/>
              </w:rPr>
            </w:pPr>
            <w:r w:rsidRPr="002E4D67">
              <w:rPr>
                <w:rFonts w:cstheme="minorHAnsi"/>
                <w:lang w:val="en-US"/>
              </w:rPr>
              <w:t>Technological and Integration Risk</w:t>
            </w:r>
          </w:p>
          <w:p w14:paraId="4613AB4A" w14:textId="77777777" w:rsidR="001073C5" w:rsidRPr="002E4D67" w:rsidRDefault="001073C5" w:rsidP="001073C5">
            <w:pPr>
              <w:pStyle w:val="Textkrper"/>
              <w:rPr>
                <w:rFonts w:cstheme="minorHAnsi"/>
                <w:lang w:val="en-US"/>
              </w:rPr>
            </w:pPr>
            <w:r w:rsidRPr="002E4D67">
              <w:rPr>
                <w:rFonts w:cstheme="minorHAnsi"/>
                <w:lang w:val="en-US"/>
              </w:rPr>
              <w:t>Integrating blockchain-based infrastructure with existing financial and legal systems presents technological and compatibility challenges. Changes in blockchain protocols, security vulnerabilities, or unforeseen technical constraints could delay or restrict token features, directly affecting the usability of the $WYND token.</w:t>
            </w:r>
          </w:p>
          <w:p w14:paraId="7B9F144A" w14:textId="77777777" w:rsidR="001073C5" w:rsidRPr="002E4D67" w:rsidRDefault="001073C5" w:rsidP="001073C5">
            <w:pPr>
              <w:pStyle w:val="Textkrper"/>
              <w:rPr>
                <w:rFonts w:cstheme="minorHAnsi"/>
                <w:lang w:val="en-US"/>
              </w:rPr>
            </w:pPr>
            <w:r w:rsidRPr="002E4D67">
              <w:rPr>
                <w:rFonts w:cstheme="minorHAnsi"/>
                <w:lang w:val="en-US"/>
              </w:rPr>
              <w:t>Regulatory Compliance for Project Implementation</w:t>
            </w:r>
          </w:p>
          <w:p w14:paraId="20DA55FE" w14:textId="427FB343" w:rsidR="001073C5" w:rsidRPr="002E4D67" w:rsidRDefault="001073C5" w:rsidP="001073C5">
            <w:pPr>
              <w:pStyle w:val="Textkrper"/>
              <w:rPr>
                <w:rFonts w:cstheme="minorHAnsi"/>
                <w:lang w:val="en-US"/>
              </w:rPr>
            </w:pPr>
            <w:r w:rsidRPr="002E4D67">
              <w:rPr>
                <w:rFonts w:cstheme="minorHAnsi"/>
                <w:lang w:val="en-US"/>
              </w:rPr>
              <w:t xml:space="preserve">The legal and regulatory landscape for tokenization and blockchain services continues to evolve. New regulatory requirements or changes in interpretation could impose additional compliance burdens on </w:t>
            </w:r>
            <w:r w:rsidR="00CE7AA2">
              <w:rPr>
                <w:rFonts w:cstheme="minorHAnsi"/>
                <w:lang w:val="en-US"/>
              </w:rPr>
              <w:t xml:space="preserve">WYND </w:t>
            </w:r>
            <w:r w:rsidRPr="002E4D67">
              <w:rPr>
                <w:rFonts w:cstheme="minorHAnsi"/>
                <w:lang w:val="en-US"/>
              </w:rPr>
              <w:t>Capital GmbH. This may include restrictions on token offerings, modifications to token-based services, or new licensing requirements. Non-compliance with these regulations could lead to penalties, service limitations, or operational restrictions, all of which could affect the functionality and marketability of the $WYND token.</w:t>
            </w:r>
          </w:p>
        </w:tc>
      </w:tr>
      <w:tr w:rsidR="001073C5" w:rsidRPr="002E4D67" w14:paraId="2EC1900F" w14:textId="77777777" w:rsidTr="00D64090">
        <w:tc>
          <w:tcPr>
            <w:tcW w:w="1985" w:type="dxa"/>
          </w:tcPr>
          <w:p w14:paraId="3ABD4F48" w14:textId="453DA93F" w:rsidR="001073C5" w:rsidRPr="002E4D67" w:rsidRDefault="001073C5" w:rsidP="001073C5">
            <w:pPr>
              <w:pStyle w:val="berschrift1"/>
              <w:keepNext w:val="0"/>
              <w:keepLines w:val="0"/>
              <w:rPr>
                <w:lang w:val="en-US"/>
              </w:rPr>
            </w:pPr>
            <w:bookmarkStart w:id="553" w:name="_Toc212018056"/>
            <w:bookmarkStart w:id="554" w:name="_Toc213164257"/>
            <w:bookmarkStart w:id="555" w:name="_Toc213179239"/>
            <w:r w:rsidRPr="002E4D67">
              <w:rPr>
                <w:lang w:val="en-US"/>
              </w:rPr>
              <w:lastRenderedPageBreak/>
              <w:t>I.5 Technology-related risks</w:t>
            </w:r>
            <w:bookmarkEnd w:id="553"/>
            <w:bookmarkEnd w:id="554"/>
            <w:bookmarkEnd w:id="555"/>
          </w:p>
        </w:tc>
        <w:tc>
          <w:tcPr>
            <w:tcW w:w="6371" w:type="dxa"/>
          </w:tcPr>
          <w:p w14:paraId="0B976097" w14:textId="77777777" w:rsidR="001073C5" w:rsidRPr="002E4D67" w:rsidRDefault="001073C5" w:rsidP="001073C5">
            <w:pPr>
              <w:pStyle w:val="Textkrper"/>
              <w:rPr>
                <w:rFonts w:cstheme="minorHAnsi"/>
                <w:lang w:val="en-US"/>
              </w:rPr>
            </w:pPr>
            <w:r w:rsidRPr="002E4D67">
              <w:rPr>
                <w:rFonts w:cstheme="minorHAnsi"/>
                <w:lang w:val="en-US"/>
              </w:rPr>
              <w:t>Blockchain and Smart Contract Vulnerability</w:t>
            </w:r>
          </w:p>
          <w:p w14:paraId="496135C1" w14:textId="77777777" w:rsidR="001073C5" w:rsidRPr="002E4D67" w:rsidRDefault="001073C5" w:rsidP="001073C5">
            <w:pPr>
              <w:pStyle w:val="Textkrper"/>
              <w:rPr>
                <w:rFonts w:cstheme="minorHAnsi"/>
                <w:lang w:val="en-US"/>
              </w:rPr>
            </w:pPr>
            <w:r w:rsidRPr="002E4D67">
              <w:rPr>
                <w:rFonts w:cstheme="minorHAnsi"/>
                <w:lang w:val="en-US"/>
              </w:rPr>
              <w:lastRenderedPageBreak/>
              <w:t>The $WYND token’s smart contracts are susceptible to coding vulnerabilities, bugs, or security flaws that could be exploited by malicious actors. A breach in the smart contract could result in unauthorized transactions, token loss, or manipulation of staking mechanisms, affecting the token’s security and trust among holders. Even though security audits are conducted, unforeseen vulnerabilities may still pose a risk.</w:t>
            </w:r>
          </w:p>
          <w:p w14:paraId="31581018" w14:textId="77777777" w:rsidR="001073C5" w:rsidRPr="002E4D67" w:rsidRDefault="001073C5" w:rsidP="001073C5">
            <w:pPr>
              <w:pStyle w:val="Textkrper"/>
              <w:rPr>
                <w:rFonts w:cstheme="minorHAnsi"/>
                <w:lang w:val="en-US"/>
              </w:rPr>
            </w:pPr>
            <w:r w:rsidRPr="002E4D67">
              <w:rPr>
                <w:rFonts w:cstheme="minorHAnsi"/>
                <w:lang w:val="en-US"/>
              </w:rPr>
              <w:t>Cybersecurity and Data Breach Risks</w:t>
            </w:r>
          </w:p>
          <w:p w14:paraId="1A6E408A" w14:textId="2DD2FFF4" w:rsidR="001073C5" w:rsidRPr="002E4D67" w:rsidRDefault="001073C5" w:rsidP="001073C5">
            <w:pPr>
              <w:pStyle w:val="Textkrper"/>
              <w:rPr>
                <w:rFonts w:cstheme="minorHAnsi"/>
                <w:lang w:val="en-US"/>
              </w:rPr>
            </w:pPr>
            <w:r w:rsidRPr="002E4D67">
              <w:rPr>
                <w:rFonts w:cstheme="minorHAnsi"/>
                <w:lang w:val="en-US"/>
              </w:rPr>
              <w:t xml:space="preserve">As a blockchain-based asset, the $WYND token is exposed to cybersecurity threats such as hacking, phishing attacks, and data breaches. If attackers compromise </w:t>
            </w:r>
            <w:r w:rsidR="00CE7AA2">
              <w:rPr>
                <w:rFonts w:cstheme="minorHAnsi"/>
                <w:lang w:val="en-US"/>
              </w:rPr>
              <w:t>WYND</w:t>
            </w:r>
            <w:r w:rsidRPr="002E4D67">
              <w:rPr>
                <w:rFonts w:cstheme="minorHAnsi"/>
                <w:lang w:val="en-US"/>
              </w:rPr>
              <w:t xml:space="preserve"> Capital’s infrastructure or the wallets of token holders, this could result in financial losses, operational disruptions, and reputational damage.</w:t>
            </w:r>
          </w:p>
          <w:p w14:paraId="12AE9D1E" w14:textId="77777777" w:rsidR="001073C5" w:rsidRPr="002E4D67" w:rsidRDefault="001073C5" w:rsidP="001073C5">
            <w:pPr>
              <w:pStyle w:val="Textkrper"/>
              <w:rPr>
                <w:rFonts w:cstheme="minorHAnsi"/>
                <w:lang w:val="en-US"/>
              </w:rPr>
            </w:pPr>
            <w:r w:rsidRPr="002E4D67">
              <w:rPr>
                <w:rFonts w:cstheme="minorHAnsi"/>
                <w:lang w:val="en-US"/>
              </w:rPr>
              <w:t>Dependency on Underlying Blockchain Stability and Performance</w:t>
            </w:r>
          </w:p>
          <w:p w14:paraId="4FCE371A" w14:textId="4C476FCE" w:rsidR="001073C5" w:rsidRPr="002E4D67" w:rsidRDefault="001073C5" w:rsidP="001073C5">
            <w:pPr>
              <w:pStyle w:val="Textkrper"/>
              <w:rPr>
                <w:rFonts w:cstheme="minorHAnsi"/>
                <w:lang w:val="en-US"/>
              </w:rPr>
            </w:pPr>
            <w:r w:rsidRPr="002E4D67">
              <w:rPr>
                <w:rFonts w:cstheme="minorHAnsi"/>
                <w:lang w:val="en-US"/>
              </w:rPr>
              <w:t>The $WYND token operates on the</w:t>
            </w:r>
            <w:r w:rsidR="00CE7AA2">
              <w:rPr>
                <w:rFonts w:cstheme="minorHAnsi"/>
                <w:lang w:val="en-US"/>
              </w:rPr>
              <w:t xml:space="preserve"> Ethereum</w:t>
            </w:r>
            <w:r w:rsidRPr="002E4D67">
              <w:rPr>
                <w:rFonts w:cstheme="minorHAnsi"/>
                <w:lang w:val="en-US"/>
              </w:rPr>
              <w:t xml:space="preserve"> blockchain, meaning its functionality depends on the stability and efficiency of this network. Risks include:</w:t>
            </w:r>
          </w:p>
          <w:p w14:paraId="3524CAEB" w14:textId="77777777" w:rsidR="001073C5" w:rsidRPr="002E4D67" w:rsidRDefault="001073C5" w:rsidP="001073C5">
            <w:pPr>
              <w:pStyle w:val="Textkrper"/>
              <w:rPr>
                <w:rFonts w:cstheme="minorHAnsi"/>
                <w:lang w:val="en-US"/>
              </w:rPr>
            </w:pPr>
            <w:r w:rsidRPr="002E4D67">
              <w:rPr>
                <w:rFonts w:cstheme="minorHAnsi"/>
                <w:lang w:val="en-US"/>
              </w:rPr>
              <w:t>Network congestion, which may lead to higher transaction fees or slower confirmation times.</w:t>
            </w:r>
          </w:p>
          <w:p w14:paraId="37B988EB" w14:textId="275393E2" w:rsidR="001073C5" w:rsidRPr="002E4D67" w:rsidRDefault="001073C5" w:rsidP="001073C5">
            <w:pPr>
              <w:pStyle w:val="Textkrper"/>
              <w:rPr>
                <w:rFonts w:cstheme="minorHAnsi"/>
                <w:lang w:val="en-US"/>
              </w:rPr>
            </w:pPr>
            <w:r w:rsidRPr="002E4D67">
              <w:rPr>
                <w:rFonts w:cstheme="minorHAnsi"/>
                <w:lang w:val="en-US"/>
              </w:rPr>
              <w:t>Technical</w:t>
            </w:r>
            <w:r w:rsidRPr="002E4D67">
              <w:rPr>
                <w:rFonts w:cstheme="minorHAnsi"/>
                <w:spacing w:val="-9"/>
                <w:lang w:val="en-US"/>
              </w:rPr>
              <w:t xml:space="preserve"> </w:t>
            </w:r>
            <w:r w:rsidRPr="002E4D67">
              <w:rPr>
                <w:rFonts w:cstheme="minorHAnsi"/>
                <w:lang w:val="en-US"/>
              </w:rPr>
              <w:t>failures,</w:t>
            </w:r>
            <w:r w:rsidRPr="002E4D67">
              <w:rPr>
                <w:rFonts w:cstheme="minorHAnsi"/>
                <w:spacing w:val="-8"/>
                <w:lang w:val="en-US"/>
              </w:rPr>
              <w:t xml:space="preserve"> </w:t>
            </w:r>
            <w:r w:rsidRPr="002E4D67">
              <w:rPr>
                <w:rFonts w:cstheme="minorHAnsi"/>
                <w:lang w:val="en-US"/>
              </w:rPr>
              <w:t>blockchain</w:t>
            </w:r>
            <w:r w:rsidRPr="002E4D67">
              <w:rPr>
                <w:rFonts w:cstheme="minorHAnsi"/>
                <w:spacing w:val="-8"/>
                <w:lang w:val="en-US"/>
              </w:rPr>
              <w:t xml:space="preserve"> </w:t>
            </w:r>
            <w:r w:rsidRPr="002E4D67">
              <w:rPr>
                <w:rFonts w:cstheme="minorHAnsi"/>
                <w:lang w:val="en-US"/>
              </w:rPr>
              <w:t>reorgs,</w:t>
            </w:r>
            <w:r w:rsidRPr="002E4D67">
              <w:rPr>
                <w:rFonts w:cstheme="minorHAnsi"/>
                <w:spacing w:val="-8"/>
                <w:lang w:val="en-US"/>
              </w:rPr>
              <w:t xml:space="preserve"> </w:t>
            </w:r>
            <w:r w:rsidRPr="002E4D67">
              <w:rPr>
                <w:rFonts w:cstheme="minorHAnsi"/>
                <w:lang w:val="en-US"/>
              </w:rPr>
              <w:t>or</w:t>
            </w:r>
            <w:r w:rsidRPr="002E4D67">
              <w:rPr>
                <w:rFonts w:cstheme="minorHAnsi"/>
                <w:spacing w:val="-9"/>
                <w:lang w:val="en-US"/>
              </w:rPr>
              <w:t xml:space="preserve"> </w:t>
            </w:r>
            <w:r w:rsidRPr="002E4D67">
              <w:rPr>
                <w:rFonts w:cstheme="minorHAnsi"/>
                <w:lang w:val="en-US"/>
              </w:rPr>
              <w:t>forks,</w:t>
            </w:r>
            <w:r w:rsidRPr="002E4D67">
              <w:rPr>
                <w:rFonts w:cstheme="minorHAnsi"/>
                <w:spacing w:val="-8"/>
                <w:lang w:val="en-US"/>
              </w:rPr>
              <w:t xml:space="preserve"> </w:t>
            </w:r>
            <w:r w:rsidRPr="002E4D67">
              <w:rPr>
                <w:rFonts w:cstheme="minorHAnsi"/>
                <w:lang w:val="en-US"/>
              </w:rPr>
              <w:t>which</w:t>
            </w:r>
            <w:r w:rsidRPr="002E4D67">
              <w:rPr>
                <w:rFonts w:cstheme="minorHAnsi"/>
                <w:spacing w:val="-8"/>
                <w:lang w:val="en-US"/>
              </w:rPr>
              <w:t xml:space="preserve"> </w:t>
            </w:r>
            <w:r w:rsidRPr="002E4D67">
              <w:rPr>
                <w:rFonts w:cstheme="minorHAnsi"/>
                <w:lang w:val="en-US"/>
              </w:rPr>
              <w:t>could</w:t>
            </w:r>
            <w:r w:rsidRPr="002E4D67">
              <w:rPr>
                <w:rFonts w:cstheme="minorHAnsi"/>
                <w:spacing w:val="-8"/>
                <w:lang w:val="en-US"/>
              </w:rPr>
              <w:t xml:space="preserve"> </w:t>
            </w:r>
            <w:r w:rsidRPr="002E4D67">
              <w:rPr>
                <w:rFonts w:cstheme="minorHAnsi"/>
                <w:lang w:val="en-US"/>
              </w:rPr>
              <w:t>impact</w:t>
            </w:r>
            <w:r w:rsidRPr="002E4D67">
              <w:rPr>
                <w:rFonts w:cstheme="minorHAnsi"/>
                <w:spacing w:val="-8"/>
                <w:lang w:val="en-US"/>
              </w:rPr>
              <w:t xml:space="preserve"> </w:t>
            </w:r>
            <w:r w:rsidRPr="002E4D67">
              <w:rPr>
                <w:rFonts w:cstheme="minorHAnsi"/>
                <w:lang w:val="en-US"/>
              </w:rPr>
              <w:t>token</w:t>
            </w:r>
            <w:r w:rsidRPr="002E4D67">
              <w:rPr>
                <w:rFonts w:cstheme="minorHAnsi"/>
                <w:spacing w:val="-9"/>
                <w:lang w:val="en-US"/>
              </w:rPr>
              <w:t xml:space="preserve"> </w:t>
            </w:r>
            <w:r w:rsidRPr="002E4D67">
              <w:rPr>
                <w:rFonts w:cstheme="minorHAnsi"/>
                <w:lang w:val="en-US"/>
              </w:rPr>
              <w:t>transfers</w:t>
            </w:r>
            <w:r w:rsidRPr="002E4D67">
              <w:rPr>
                <w:rFonts w:cstheme="minorHAnsi"/>
                <w:spacing w:val="-8"/>
                <w:lang w:val="en-US"/>
              </w:rPr>
              <w:t xml:space="preserve"> </w:t>
            </w:r>
            <w:r w:rsidRPr="002E4D67">
              <w:rPr>
                <w:rFonts w:cstheme="minorHAnsi"/>
                <w:lang w:val="en-US"/>
              </w:rPr>
              <w:t>and staking</w:t>
            </w:r>
            <w:r w:rsidRPr="002E4D67">
              <w:rPr>
                <w:rFonts w:cstheme="minorHAnsi"/>
                <w:spacing w:val="-2"/>
                <w:lang w:val="en-US"/>
              </w:rPr>
              <w:t xml:space="preserve"> </w:t>
            </w:r>
            <w:r w:rsidRPr="002E4D67">
              <w:rPr>
                <w:rFonts w:cstheme="minorHAnsi"/>
                <w:lang w:val="en-US"/>
              </w:rPr>
              <w:t>mechanisms.</w:t>
            </w:r>
          </w:p>
          <w:p w14:paraId="4F5E8736" w14:textId="22BE76A6" w:rsidR="001073C5" w:rsidRPr="002E4D67" w:rsidRDefault="001073C5" w:rsidP="001073C5">
            <w:pPr>
              <w:pStyle w:val="Textkrper"/>
              <w:rPr>
                <w:rFonts w:cstheme="minorHAnsi"/>
                <w:lang w:val="en-US"/>
              </w:rPr>
            </w:pPr>
            <w:r w:rsidRPr="002E4D67">
              <w:rPr>
                <w:rFonts w:cstheme="minorHAnsi"/>
                <w:lang w:val="en-US"/>
              </w:rPr>
              <w:t>Reliance</w:t>
            </w:r>
            <w:r w:rsidRPr="002E4D67">
              <w:rPr>
                <w:rFonts w:cstheme="minorHAnsi"/>
                <w:spacing w:val="-7"/>
                <w:lang w:val="en-US"/>
              </w:rPr>
              <w:t xml:space="preserve"> </w:t>
            </w:r>
            <w:r w:rsidRPr="002E4D67">
              <w:rPr>
                <w:rFonts w:cstheme="minorHAnsi"/>
                <w:lang w:val="en-US"/>
              </w:rPr>
              <w:t>on</w:t>
            </w:r>
            <w:r w:rsidRPr="002E4D67">
              <w:rPr>
                <w:rFonts w:cstheme="minorHAnsi"/>
                <w:spacing w:val="-7"/>
                <w:lang w:val="en-US"/>
              </w:rPr>
              <w:t xml:space="preserve"> </w:t>
            </w:r>
            <w:r w:rsidRPr="002E4D67">
              <w:rPr>
                <w:rFonts w:cstheme="minorHAnsi"/>
                <w:lang w:val="en-US"/>
              </w:rPr>
              <w:t>third-party</w:t>
            </w:r>
            <w:r w:rsidRPr="002E4D67">
              <w:rPr>
                <w:rFonts w:cstheme="minorHAnsi"/>
                <w:spacing w:val="-6"/>
                <w:lang w:val="en-US"/>
              </w:rPr>
              <w:t xml:space="preserve"> </w:t>
            </w:r>
            <w:r w:rsidRPr="002E4D67">
              <w:rPr>
                <w:rFonts w:cstheme="minorHAnsi"/>
                <w:lang w:val="en-US"/>
              </w:rPr>
              <w:t>validators</w:t>
            </w:r>
            <w:r w:rsidRPr="002E4D67">
              <w:rPr>
                <w:rFonts w:cstheme="minorHAnsi"/>
                <w:spacing w:val="-7"/>
                <w:lang w:val="en-US"/>
              </w:rPr>
              <w:t xml:space="preserve"> </w:t>
            </w:r>
            <w:r w:rsidRPr="002E4D67">
              <w:rPr>
                <w:rFonts w:cstheme="minorHAnsi"/>
                <w:lang w:val="en-US"/>
              </w:rPr>
              <w:t>and</w:t>
            </w:r>
            <w:r w:rsidRPr="002E4D67">
              <w:rPr>
                <w:rFonts w:cstheme="minorHAnsi"/>
                <w:spacing w:val="-6"/>
                <w:lang w:val="en-US"/>
              </w:rPr>
              <w:t xml:space="preserve"> </w:t>
            </w:r>
            <w:r w:rsidRPr="002E4D67">
              <w:rPr>
                <w:rFonts w:cstheme="minorHAnsi"/>
                <w:lang w:val="en-US"/>
              </w:rPr>
              <w:t>node</w:t>
            </w:r>
            <w:r w:rsidRPr="002E4D67">
              <w:rPr>
                <w:rFonts w:cstheme="minorHAnsi"/>
                <w:spacing w:val="-7"/>
                <w:lang w:val="en-US"/>
              </w:rPr>
              <w:t xml:space="preserve"> </w:t>
            </w:r>
            <w:r w:rsidRPr="002E4D67">
              <w:rPr>
                <w:rFonts w:cstheme="minorHAnsi"/>
                <w:lang w:val="en-US"/>
              </w:rPr>
              <w:t>operators,</w:t>
            </w:r>
            <w:r w:rsidRPr="002E4D67">
              <w:rPr>
                <w:rFonts w:cstheme="minorHAnsi"/>
                <w:spacing w:val="-6"/>
                <w:lang w:val="en-US"/>
              </w:rPr>
              <w:t xml:space="preserve"> </w:t>
            </w:r>
            <w:r w:rsidRPr="002E4D67">
              <w:rPr>
                <w:rFonts w:cstheme="minorHAnsi"/>
                <w:lang w:val="en-US"/>
              </w:rPr>
              <w:t>which</w:t>
            </w:r>
            <w:r w:rsidRPr="002E4D67">
              <w:rPr>
                <w:rFonts w:cstheme="minorHAnsi"/>
                <w:spacing w:val="-7"/>
                <w:lang w:val="en-US"/>
              </w:rPr>
              <w:t xml:space="preserve"> </w:t>
            </w:r>
            <w:r w:rsidRPr="002E4D67">
              <w:rPr>
                <w:rFonts w:cstheme="minorHAnsi"/>
                <w:lang w:val="en-US"/>
              </w:rPr>
              <w:t>may</w:t>
            </w:r>
            <w:r w:rsidRPr="002E4D67">
              <w:rPr>
                <w:rFonts w:cstheme="minorHAnsi"/>
                <w:spacing w:val="-7"/>
                <w:lang w:val="en-US"/>
              </w:rPr>
              <w:t xml:space="preserve"> </w:t>
            </w:r>
            <w:r w:rsidRPr="002E4D67">
              <w:rPr>
                <w:rFonts w:cstheme="minorHAnsi"/>
                <w:lang w:val="en-US"/>
              </w:rPr>
              <w:t>introduce</w:t>
            </w:r>
            <w:r w:rsidRPr="002E4D67">
              <w:rPr>
                <w:rFonts w:cstheme="minorHAnsi"/>
                <w:spacing w:val="-6"/>
                <w:lang w:val="en-US"/>
              </w:rPr>
              <w:t xml:space="preserve"> </w:t>
            </w:r>
            <w:r w:rsidRPr="002E4D67">
              <w:rPr>
                <w:rFonts w:cstheme="minorHAnsi"/>
                <w:lang w:val="en-US"/>
              </w:rPr>
              <w:t>security vulnerabilities or service</w:t>
            </w:r>
            <w:r w:rsidRPr="002E4D67">
              <w:rPr>
                <w:rFonts w:cstheme="minorHAnsi"/>
                <w:spacing w:val="-5"/>
                <w:lang w:val="en-US"/>
              </w:rPr>
              <w:t xml:space="preserve"> </w:t>
            </w:r>
            <w:r w:rsidRPr="002E4D67">
              <w:rPr>
                <w:rFonts w:cstheme="minorHAnsi"/>
                <w:lang w:val="en-US"/>
              </w:rPr>
              <w:t>disruptions.</w:t>
            </w:r>
          </w:p>
          <w:p w14:paraId="63B02BA9" w14:textId="6BACECA4" w:rsidR="001073C5" w:rsidRPr="002E4D67" w:rsidRDefault="001073C5" w:rsidP="001073C5">
            <w:pPr>
              <w:pStyle w:val="Textkrper"/>
              <w:rPr>
                <w:rFonts w:cstheme="minorHAnsi"/>
                <w:lang w:val="en-US"/>
              </w:rPr>
            </w:pPr>
            <w:r w:rsidRPr="002E4D67">
              <w:rPr>
                <w:rFonts w:cstheme="minorHAnsi"/>
                <w:lang w:val="en-US"/>
              </w:rPr>
              <w:t>Wallet and Private Key Risk</w:t>
            </w:r>
          </w:p>
          <w:p w14:paraId="1244AB54" w14:textId="2F9EEDAD" w:rsidR="001073C5" w:rsidRPr="002E4D67" w:rsidRDefault="001073C5" w:rsidP="001073C5">
            <w:pPr>
              <w:pStyle w:val="Textkrper"/>
              <w:rPr>
                <w:rFonts w:cstheme="minorHAnsi"/>
                <w:lang w:val="en-US"/>
              </w:rPr>
            </w:pPr>
            <w:r w:rsidRPr="002E4D67">
              <w:rPr>
                <w:rFonts w:cstheme="minorHAnsi"/>
                <w:lang w:val="en-US"/>
              </w:rPr>
              <w:t>$WYND token holders are responsible for the custody of their tokens in a compatible cryptographic wallet and for securing their private keys. Loss of a private key means permanent loss of access to the $WYND tokens, with no possibility of recovery. If a holder connects their wallet to malicious applications, they risk unauthorized access to their assets.</w:t>
            </w:r>
          </w:p>
          <w:p w14:paraId="6F6D5DE6" w14:textId="77777777" w:rsidR="001073C5" w:rsidRPr="002E4D67" w:rsidRDefault="001073C5" w:rsidP="001073C5">
            <w:pPr>
              <w:pStyle w:val="Textkrper"/>
              <w:rPr>
                <w:rFonts w:cstheme="minorHAnsi"/>
                <w:lang w:val="en-US"/>
              </w:rPr>
            </w:pPr>
            <w:r w:rsidRPr="002E4D67">
              <w:rPr>
                <w:rFonts w:cstheme="minorHAnsi"/>
                <w:lang w:val="en-US"/>
              </w:rPr>
              <w:t>Technology Obsolescence Risk</w:t>
            </w:r>
          </w:p>
          <w:p w14:paraId="240C4AA3" w14:textId="1945E669" w:rsidR="001073C5" w:rsidRPr="002E4D67" w:rsidRDefault="001073C5" w:rsidP="001073C5">
            <w:pPr>
              <w:pStyle w:val="Textkrper"/>
              <w:rPr>
                <w:rFonts w:cstheme="minorHAnsi"/>
                <w:lang w:val="en-US"/>
              </w:rPr>
            </w:pPr>
            <w:r w:rsidRPr="002E4D67">
              <w:rPr>
                <w:rFonts w:cstheme="minorHAnsi"/>
                <w:lang w:val="en-US"/>
              </w:rPr>
              <w:t xml:space="preserve">Blockchain technology is rapidly evolving. </w:t>
            </w:r>
            <w:r w:rsidR="00CE7AA2">
              <w:rPr>
                <w:rFonts w:cstheme="minorHAnsi"/>
                <w:lang w:val="en-US"/>
              </w:rPr>
              <w:t xml:space="preserve">WYND and </w:t>
            </w:r>
            <w:r w:rsidRPr="002E4D67">
              <w:rPr>
                <w:rFonts w:cstheme="minorHAnsi"/>
                <w:lang w:val="en-US"/>
              </w:rPr>
              <w:t xml:space="preserve"> Capital does not adapt to new standards, interoperability solutions, or emerging security protocols, the $WYND token’s utility and competitive relevance </w:t>
            </w:r>
            <w:r w:rsidRPr="002E4D67">
              <w:rPr>
                <w:rFonts w:cstheme="minorHAnsi"/>
                <w:lang w:val="en-US"/>
              </w:rPr>
              <w:lastRenderedPageBreak/>
              <w:t>may diminish over time. New blockchain innovations could introduce more efficient tokenization models, potentially reducing demand for the $WYND token.</w:t>
            </w:r>
          </w:p>
          <w:p w14:paraId="1435893D" w14:textId="77777777" w:rsidR="001073C5" w:rsidRPr="002E4D67" w:rsidRDefault="001073C5" w:rsidP="001073C5">
            <w:pPr>
              <w:pStyle w:val="Textkrper"/>
              <w:rPr>
                <w:rFonts w:cstheme="minorHAnsi"/>
                <w:lang w:val="en-US"/>
              </w:rPr>
            </w:pPr>
            <w:r w:rsidRPr="002E4D67">
              <w:rPr>
                <w:rFonts w:cstheme="minorHAnsi"/>
                <w:lang w:val="en-US"/>
              </w:rPr>
              <w:t>Risk of Technical Failures and Downtime</w:t>
            </w:r>
          </w:p>
          <w:p w14:paraId="4C0940EE" w14:textId="77777777" w:rsidR="001073C5" w:rsidRPr="002E4D67" w:rsidRDefault="001073C5" w:rsidP="001073C5">
            <w:pPr>
              <w:pStyle w:val="Textkrper"/>
              <w:rPr>
                <w:rFonts w:cstheme="minorHAnsi"/>
                <w:lang w:val="en-US"/>
              </w:rPr>
            </w:pPr>
            <w:r w:rsidRPr="002E4D67">
              <w:rPr>
                <w:rFonts w:cstheme="minorHAnsi"/>
                <w:lang w:val="en-US"/>
              </w:rPr>
              <w:t>Technical issues, such as server outages, software bugs, or API failures, could lead to downtime, transaction delays, or other errors. If prolonged, such failures may disrupt user confidence and limit access to the $WYND token’s functionality.</w:t>
            </w:r>
          </w:p>
          <w:p w14:paraId="7532C265" w14:textId="77777777" w:rsidR="001073C5" w:rsidRPr="002E4D67" w:rsidRDefault="001073C5" w:rsidP="001073C5">
            <w:pPr>
              <w:pStyle w:val="Textkrper"/>
              <w:rPr>
                <w:rFonts w:cstheme="minorHAnsi"/>
                <w:lang w:val="en-US"/>
              </w:rPr>
            </w:pPr>
            <w:r w:rsidRPr="002E4D67">
              <w:rPr>
                <w:rFonts w:cstheme="minorHAnsi"/>
                <w:lang w:val="en-US"/>
              </w:rPr>
              <w:t>Data Privacy and Compliance Risk</w:t>
            </w:r>
          </w:p>
          <w:p w14:paraId="5B06CBB4" w14:textId="3B02698B" w:rsidR="001073C5" w:rsidRPr="002E4D67" w:rsidRDefault="001073C5" w:rsidP="001073C5">
            <w:pPr>
              <w:pStyle w:val="Textkrper"/>
              <w:rPr>
                <w:rFonts w:cstheme="minorHAnsi"/>
                <w:lang w:val="en-US"/>
              </w:rPr>
            </w:pPr>
            <w:r w:rsidRPr="002E4D67">
              <w:rPr>
                <w:rFonts w:cstheme="minorHAnsi"/>
                <w:lang w:val="en-US"/>
              </w:rPr>
              <w:t>WYND Capital GmbH processes user data in compliance with applicable data protection laws, such as the General Data Protection Regulation (GDPR). Failure to adequately protect user information could lead to regulatory penalties, loss of user trust, and potential restrictions on their business. Any data breaches or non-compliance with privacy regulations may impact the long-term adoption of $WYND token-based services.</w:t>
            </w:r>
          </w:p>
        </w:tc>
      </w:tr>
      <w:tr w:rsidR="001073C5" w:rsidRPr="002E4D67" w14:paraId="0CA5049D" w14:textId="77777777" w:rsidTr="00D64090">
        <w:tc>
          <w:tcPr>
            <w:tcW w:w="1985" w:type="dxa"/>
          </w:tcPr>
          <w:p w14:paraId="37D0ED5F" w14:textId="3289A45F" w:rsidR="001073C5" w:rsidRPr="002E4D67" w:rsidRDefault="001073C5" w:rsidP="001073C5">
            <w:pPr>
              <w:pStyle w:val="berschrift1"/>
              <w:keepNext w:val="0"/>
              <w:keepLines w:val="0"/>
              <w:rPr>
                <w:lang w:val="en-US"/>
              </w:rPr>
            </w:pPr>
            <w:bookmarkStart w:id="556" w:name="_Toc212018058"/>
            <w:bookmarkStart w:id="557" w:name="_Toc213164258"/>
            <w:bookmarkStart w:id="558" w:name="_Toc213179240"/>
            <w:r w:rsidRPr="002E4D67">
              <w:rPr>
                <w:lang w:val="en-US"/>
              </w:rPr>
              <w:lastRenderedPageBreak/>
              <w:t>I.6 Mitigation measures</w:t>
            </w:r>
            <w:bookmarkEnd w:id="556"/>
            <w:bookmarkEnd w:id="557"/>
            <w:bookmarkEnd w:id="558"/>
          </w:p>
        </w:tc>
        <w:tc>
          <w:tcPr>
            <w:tcW w:w="6371" w:type="dxa"/>
          </w:tcPr>
          <w:p w14:paraId="652F18DF" w14:textId="77777777" w:rsidR="001073C5" w:rsidRPr="002E4D67" w:rsidRDefault="001073C5" w:rsidP="008238D0">
            <w:pPr>
              <w:pStyle w:val="Textkrper"/>
              <w:jc w:val="left"/>
              <w:rPr>
                <w:rFonts w:cstheme="minorHAnsi"/>
                <w:lang w:val="en-US"/>
              </w:rPr>
            </w:pPr>
            <w:r w:rsidRPr="002E4D67">
              <w:rPr>
                <w:rStyle w:val="Fett"/>
                <w:rFonts w:cstheme="minorHAnsi"/>
                <w:lang w:val="en-US"/>
              </w:rPr>
              <w:t>Smart Contract Audits and Security</w:t>
            </w:r>
            <w:bookmarkStart w:id="559" w:name="_cp_change_1047"/>
            <w:r w:rsidRPr="002E4D67">
              <w:rPr>
                <w:rStyle w:val="Fett"/>
                <w:rFonts w:cstheme="minorHAnsi"/>
                <w:lang w:val="en-US"/>
              </w:rPr>
              <w:t xml:space="preserve"> Measures</w:t>
            </w:r>
            <w:bookmarkStart w:id="560" w:name="_cp_change_1048"/>
            <w:bookmarkEnd w:id="559"/>
            <w:r w:rsidRPr="002E4D67">
              <w:rPr>
                <w:rFonts w:cstheme="minorHAnsi"/>
                <w:color w:val="0000FF"/>
                <w:u w:val="double" w:color="0000FF"/>
                <w:lang w:val="en-US"/>
              </w:rPr>
              <w:br/>
            </w:r>
            <w:bookmarkStart w:id="561" w:name="_cp_change_1049"/>
            <w:bookmarkEnd w:id="560"/>
            <w:r w:rsidRPr="002E4D67">
              <w:rPr>
                <w:rFonts w:eastAsiaTheme="minorEastAsia" w:cstheme="minorHAnsi"/>
                <w:lang w:val="en-US"/>
                <w14:ligatures w14:val="standardContextual"/>
              </w:rPr>
              <w:t>All $WYND token smart contracts will undergo independent third-party audits prior to launch. Audit results will be published to ensure transparency.</w:t>
            </w:r>
            <w:bookmarkEnd w:id="561"/>
          </w:p>
          <w:p w14:paraId="5ADA082A" w14:textId="77777777" w:rsidR="001073C5" w:rsidRPr="002E4D67" w:rsidRDefault="001073C5" w:rsidP="008238D0">
            <w:pPr>
              <w:pStyle w:val="Textkrper"/>
              <w:jc w:val="left"/>
              <w:rPr>
                <w:rFonts w:eastAsiaTheme="minorEastAsia" w:cstheme="minorHAnsi"/>
                <w:lang w:val="en-US"/>
                <w14:ligatures w14:val="standardContextual"/>
              </w:rPr>
            </w:pPr>
            <w:bookmarkStart w:id="562" w:name="_cp_change_1050"/>
            <w:r w:rsidRPr="002E4D67">
              <w:rPr>
                <w:rFonts w:eastAsiaTheme="minorEastAsia" w:cstheme="minorHAnsi"/>
                <w:lang w:val="en-US"/>
                <w14:ligatures w14:val="standardContextual"/>
              </w:rPr>
              <w:t>Cybersecurity Framework</w:t>
            </w:r>
            <w:r w:rsidRPr="002E4D67">
              <w:rPr>
                <w:rFonts w:eastAsiaTheme="minorEastAsia" w:cstheme="minorHAnsi"/>
                <w:lang w:val="en-US"/>
                <w14:ligatures w14:val="standardContextual"/>
              </w:rPr>
              <w:br/>
            </w:r>
            <w:bookmarkStart w:id="563" w:name="_cp_change_1052"/>
            <w:bookmarkEnd w:id="562"/>
            <w:r w:rsidRPr="002E4D67">
              <w:rPr>
                <w:rFonts w:eastAsiaTheme="minorEastAsia" w:cstheme="minorHAnsi"/>
                <w:lang w:val="en-US"/>
                <w14:ligatures w14:val="standardContextual"/>
              </w:rPr>
              <w:t>WYND Capital GmbH follows EU cybersecurity standards, including continuous monitoring, penetration testing, and AML/KYC compliance measures.</w:t>
            </w:r>
            <w:bookmarkStart w:id="564" w:name="_cp_change_1051"/>
            <w:bookmarkEnd w:id="563"/>
          </w:p>
          <w:bookmarkEnd w:id="564"/>
          <w:p w14:paraId="79781556" w14:textId="77777777" w:rsidR="001073C5" w:rsidRPr="002E4D67" w:rsidRDefault="001073C5" w:rsidP="008238D0">
            <w:pPr>
              <w:pStyle w:val="Textkrper"/>
              <w:jc w:val="left"/>
              <w:rPr>
                <w:rFonts w:cstheme="minorHAnsi"/>
                <w:lang w:val="en-US"/>
              </w:rPr>
            </w:pPr>
            <w:r w:rsidRPr="002E4D67">
              <w:rPr>
                <w:rStyle w:val="Fett"/>
                <w:rFonts w:cstheme="minorHAnsi"/>
                <w:b w:val="0"/>
                <w:bCs w:val="0"/>
                <w:lang w:val="en-US"/>
              </w:rPr>
              <w:t>Incident</w:t>
            </w:r>
            <w:r w:rsidRPr="002E4D67">
              <w:rPr>
                <w:rStyle w:val="Fett"/>
                <w:rFonts w:cstheme="minorHAnsi"/>
                <w:lang w:val="en-US"/>
              </w:rPr>
              <w:t xml:space="preserve"> </w:t>
            </w:r>
            <w:r w:rsidRPr="002E4D67">
              <w:rPr>
                <w:rFonts w:cstheme="minorHAnsi"/>
                <w:lang w:val="en-US"/>
              </w:rPr>
              <w:t xml:space="preserve">Response </w:t>
            </w:r>
            <w:bookmarkStart w:id="565" w:name="_cp_change_1061"/>
            <w:r w:rsidRPr="002E4D67">
              <w:rPr>
                <w:rFonts w:cstheme="minorHAnsi"/>
                <w:lang w:val="en-US"/>
              </w:rPr>
              <w:t>&amp;</w:t>
            </w:r>
            <w:bookmarkEnd w:id="565"/>
            <w:r w:rsidRPr="002E4D67">
              <w:rPr>
                <w:rFonts w:cstheme="minorHAnsi"/>
                <w:lang w:val="en-US"/>
              </w:rPr>
              <w:t xml:space="preserve"> Contingency</w:t>
            </w:r>
            <w:r w:rsidRPr="002E4D67">
              <w:rPr>
                <w:rFonts w:cstheme="minorHAnsi"/>
                <w:lang w:val="en-US"/>
              </w:rPr>
              <w:br/>
              <w:t xml:space="preserve">A structured incident response plan is in </w:t>
            </w:r>
            <w:bookmarkStart w:id="566" w:name="_cp_change_1064"/>
            <w:r w:rsidRPr="002E4D67">
              <w:rPr>
                <w:rFonts w:cstheme="minorHAnsi"/>
                <w:lang w:val="en-US"/>
              </w:rPr>
              <w:t>with</w:t>
            </w:r>
            <w:bookmarkEnd w:id="566"/>
            <w:r w:rsidRPr="002E4D67">
              <w:rPr>
                <w:rFonts w:cstheme="minorHAnsi"/>
                <w:lang w:val="en-US"/>
              </w:rPr>
              <w:t xml:space="preserve"> predefined escalation, forensic analysis, and corrective </w:t>
            </w:r>
            <w:bookmarkStart w:id="567" w:name="_cp_change_1068"/>
            <w:r w:rsidRPr="002E4D67">
              <w:rPr>
                <w:rFonts w:cstheme="minorHAnsi"/>
                <w:lang w:val="en-US"/>
              </w:rPr>
              <w:t>actions</w:t>
            </w:r>
            <w:bookmarkEnd w:id="567"/>
            <w:r w:rsidRPr="002E4D67">
              <w:rPr>
                <w:rFonts w:cstheme="minorHAnsi"/>
                <w:lang w:val="en-US"/>
              </w:rPr>
              <w:t xml:space="preserve"> to minimize </w:t>
            </w:r>
            <w:bookmarkStart w:id="568" w:name="_cp_change_1069"/>
            <w:r w:rsidRPr="002E4D67">
              <w:rPr>
                <w:rFonts w:cstheme="minorHAnsi"/>
                <w:lang w:val="en-US"/>
              </w:rPr>
              <w:t xml:space="preserve">damage from </w:t>
            </w:r>
            <w:bookmarkEnd w:id="568"/>
            <w:r w:rsidRPr="002E4D67">
              <w:rPr>
                <w:rFonts w:cstheme="minorHAnsi"/>
                <w:lang w:val="en-US"/>
              </w:rPr>
              <w:t xml:space="preserve">potential </w:t>
            </w:r>
            <w:bookmarkStart w:id="569" w:name="_cp_change_1071"/>
            <w:r w:rsidRPr="002E4D67">
              <w:rPr>
                <w:rFonts w:cstheme="minorHAnsi"/>
                <w:lang w:val="en-US"/>
              </w:rPr>
              <w:t>breaches or failures</w:t>
            </w:r>
            <w:bookmarkEnd w:id="569"/>
            <w:r w:rsidRPr="002E4D67">
              <w:rPr>
                <w:rFonts w:cstheme="minorHAnsi"/>
                <w:lang w:val="en-US"/>
              </w:rPr>
              <w:t>.</w:t>
            </w:r>
          </w:p>
          <w:p w14:paraId="187DFBFF" w14:textId="77777777" w:rsidR="001073C5" w:rsidRPr="002E4D67" w:rsidRDefault="001073C5" w:rsidP="008238D0">
            <w:pPr>
              <w:pStyle w:val="Textkrper"/>
              <w:jc w:val="left"/>
              <w:rPr>
                <w:rFonts w:cstheme="minorHAnsi"/>
                <w:lang w:val="en-US"/>
              </w:rPr>
            </w:pPr>
            <w:bookmarkStart w:id="570" w:name="_cp_change_1075"/>
            <w:r w:rsidRPr="002E4D67">
              <w:rPr>
                <w:rFonts w:cstheme="minorHAnsi"/>
                <w:lang w:val="en-US"/>
              </w:rPr>
              <w:t>Regulatory Compliance</w:t>
            </w:r>
            <w:bookmarkEnd w:id="570"/>
          </w:p>
          <w:p w14:paraId="0ED77B88" w14:textId="272D8618" w:rsidR="001073C5" w:rsidRPr="002E4D67" w:rsidRDefault="001073C5" w:rsidP="001073C5">
            <w:pPr>
              <w:pStyle w:val="Textkrper"/>
              <w:rPr>
                <w:rFonts w:cstheme="minorHAnsi"/>
                <w:lang w:val="en-US"/>
              </w:rPr>
            </w:pPr>
            <w:r w:rsidRPr="002E4D67">
              <w:rPr>
                <w:rFonts w:cstheme="minorHAnsi"/>
                <w:lang w:val="en-US"/>
              </w:rPr>
              <w:t xml:space="preserve">$WYND </w:t>
            </w:r>
            <w:bookmarkStart w:id="571" w:name="_cp_change_1077"/>
            <w:r w:rsidRPr="002E4D67">
              <w:rPr>
                <w:rFonts w:cstheme="minorHAnsi"/>
                <w:lang w:val="en-US"/>
              </w:rPr>
              <w:t>is fully structured</w:t>
            </w:r>
            <w:bookmarkEnd w:id="571"/>
            <w:r w:rsidRPr="002E4D67">
              <w:rPr>
                <w:rFonts w:cstheme="minorHAnsi"/>
                <w:lang w:val="en-US"/>
              </w:rPr>
              <w:t xml:space="preserve"> under the </w:t>
            </w:r>
            <w:bookmarkStart w:id="572" w:name="_cp_change_1079"/>
            <w:r w:rsidRPr="002E4D67">
              <w:rPr>
                <w:rFonts w:cstheme="minorHAnsi"/>
                <w:lang w:val="en-US"/>
              </w:rPr>
              <w:t>MiCA</w:t>
            </w:r>
            <w:bookmarkEnd w:id="572"/>
            <w:r w:rsidRPr="002E4D67">
              <w:rPr>
                <w:rFonts w:cstheme="minorHAnsi"/>
                <w:lang w:val="en-US"/>
              </w:rPr>
              <w:t xml:space="preserve"> framework</w:t>
            </w:r>
            <w:bookmarkStart w:id="573" w:name="_cp_change_1081"/>
            <w:r w:rsidRPr="002E4D67">
              <w:rPr>
                <w:rFonts w:cstheme="minorHAnsi"/>
                <w:lang w:val="en-US"/>
              </w:rPr>
              <w:t>, aligned</w:t>
            </w:r>
            <w:bookmarkEnd w:id="573"/>
            <w:r w:rsidRPr="002E4D67">
              <w:rPr>
                <w:rFonts w:cstheme="minorHAnsi"/>
                <w:lang w:val="en-US"/>
              </w:rPr>
              <w:t xml:space="preserve"> with </w:t>
            </w:r>
            <w:bookmarkStart w:id="574" w:name="_cp_change_1082"/>
            <w:r w:rsidRPr="002E4D67">
              <w:rPr>
                <w:rFonts w:cstheme="minorHAnsi"/>
                <w:lang w:val="en-US"/>
              </w:rPr>
              <w:t xml:space="preserve">applicable </w:t>
            </w:r>
            <w:bookmarkEnd w:id="574"/>
            <w:r w:rsidRPr="002E4D67">
              <w:rPr>
                <w:rFonts w:cstheme="minorHAnsi"/>
                <w:lang w:val="en-US"/>
              </w:rPr>
              <w:t>EU regulations</w:t>
            </w:r>
            <w:bookmarkStart w:id="575" w:name="_cp_change_1083"/>
            <w:r w:rsidRPr="002E4D67">
              <w:rPr>
                <w:rFonts w:cstheme="minorHAnsi"/>
                <w:lang w:val="en-US"/>
              </w:rPr>
              <w:t>.</w:t>
            </w:r>
            <w:bookmarkStart w:id="576" w:name="_cp_change_1084"/>
            <w:bookmarkEnd w:id="575"/>
            <w:r w:rsidRPr="002E4D67">
              <w:rPr>
                <w:rFonts w:cstheme="minorHAnsi"/>
                <w:lang w:val="en-US"/>
              </w:rPr>
              <w:t>, AML directives, and ongoing regulatory monitoring.</w:t>
            </w:r>
            <w:bookmarkEnd w:id="576"/>
          </w:p>
          <w:p w14:paraId="7BAACA79" w14:textId="77777777" w:rsidR="001073C5" w:rsidRPr="002E4D67" w:rsidRDefault="001073C5" w:rsidP="001073C5">
            <w:pPr>
              <w:pStyle w:val="Textkrper"/>
              <w:rPr>
                <w:rFonts w:cstheme="minorHAnsi"/>
                <w:lang w:val="en-US"/>
              </w:rPr>
            </w:pPr>
            <w:bookmarkStart w:id="577" w:name="_cp_change_1085"/>
            <w:r w:rsidRPr="002E4D67">
              <w:rPr>
                <w:rFonts w:cstheme="minorHAnsi"/>
                <w:lang w:val="en-US"/>
              </w:rPr>
              <w:lastRenderedPageBreak/>
              <w:t>Blockchain Stability</w:t>
            </w:r>
            <w:r w:rsidRPr="002E4D67">
              <w:rPr>
                <w:rFonts w:cstheme="minorHAnsi"/>
                <w:lang w:val="en-US"/>
              </w:rPr>
              <w:br/>
            </w:r>
            <w:bookmarkStart w:id="578" w:name="_cp_change_1087"/>
            <w:bookmarkEnd w:id="577"/>
            <w:r w:rsidRPr="002E4D67">
              <w:rPr>
                <w:rFonts w:cstheme="minorHAnsi"/>
                <w:lang w:val="en-US"/>
              </w:rPr>
              <w:t>$WYND is issued on the Ethereum blockchain (ERC-20). Layer-2 solutions may be integrated to mitigate congestion and high gas fees.</w:t>
            </w:r>
            <w:bookmarkStart w:id="579" w:name="_cp_change_1086"/>
            <w:bookmarkEnd w:id="578"/>
          </w:p>
          <w:bookmarkEnd w:id="579"/>
          <w:p w14:paraId="62267B64" w14:textId="77777777" w:rsidR="001073C5" w:rsidRPr="002E4D67" w:rsidRDefault="001073C5" w:rsidP="001073C5">
            <w:pPr>
              <w:pStyle w:val="Textkrper"/>
              <w:rPr>
                <w:rFonts w:cstheme="minorHAnsi"/>
                <w:lang w:val="en-US"/>
              </w:rPr>
            </w:pPr>
            <w:r w:rsidRPr="002E4D67">
              <w:rPr>
                <w:rStyle w:val="Fett"/>
                <w:rFonts w:cstheme="minorHAnsi"/>
                <w:b w:val="0"/>
                <w:bCs w:val="0"/>
                <w:lang w:val="en-US"/>
              </w:rPr>
              <w:t>Private Key</w:t>
            </w:r>
            <w:r w:rsidRPr="002E4D67">
              <w:rPr>
                <w:rStyle w:val="Fett"/>
                <w:rFonts w:cstheme="minorHAnsi"/>
                <w:lang w:val="en-US"/>
              </w:rPr>
              <w:t xml:space="preserve"> </w:t>
            </w:r>
            <w:bookmarkStart w:id="580" w:name="_cp_change_1094"/>
            <w:r w:rsidRPr="002E4D67">
              <w:rPr>
                <w:rFonts w:cstheme="minorHAnsi"/>
                <w:lang w:val="en-US"/>
              </w:rPr>
              <w:t>&amp;</w:t>
            </w:r>
            <w:bookmarkEnd w:id="580"/>
            <w:r w:rsidRPr="002E4D67">
              <w:rPr>
                <w:rFonts w:cstheme="minorHAnsi"/>
                <w:lang w:val="en-US"/>
              </w:rPr>
              <w:t xml:space="preserve"> Custody Awareness</w:t>
            </w:r>
            <w:r w:rsidRPr="002E4D67">
              <w:rPr>
                <w:rFonts w:cstheme="minorHAnsi"/>
                <w:lang w:val="en-US"/>
              </w:rPr>
              <w:br/>
            </w:r>
            <w:bookmarkStart w:id="581" w:name="_cp_change_1096"/>
            <w:r w:rsidRPr="002E4D67">
              <w:rPr>
                <w:rFonts w:cstheme="minorHAnsi"/>
                <w:lang w:val="en-US"/>
              </w:rPr>
              <w:t xml:space="preserve">WYND </w:t>
            </w:r>
            <w:bookmarkEnd w:id="581"/>
            <w:r w:rsidRPr="002E4D67">
              <w:rPr>
                <w:rFonts w:cstheme="minorHAnsi"/>
                <w:lang w:val="en-US"/>
              </w:rPr>
              <w:t>Capital GmbH does not offer custodial services</w:t>
            </w:r>
            <w:bookmarkStart w:id="582" w:name="_cp_change_1102"/>
            <w:r w:rsidRPr="002E4D67">
              <w:rPr>
                <w:rFonts w:cstheme="minorHAnsi"/>
                <w:lang w:val="en-US"/>
              </w:rPr>
              <w:t>. Token holders are educated on wallet security and</w:t>
            </w:r>
            <w:bookmarkEnd w:id="582"/>
            <w:r w:rsidRPr="002E4D67">
              <w:rPr>
                <w:rFonts w:cstheme="minorHAnsi"/>
                <w:lang w:val="en-US"/>
              </w:rPr>
              <w:t xml:space="preserve"> encouraged to </w:t>
            </w:r>
            <w:bookmarkStart w:id="583" w:name="_cp_change_1104"/>
            <w:r w:rsidRPr="002E4D67">
              <w:rPr>
                <w:rFonts w:cstheme="minorHAnsi"/>
                <w:lang w:val="en-US"/>
              </w:rPr>
              <w:t>use</w:t>
            </w:r>
            <w:bookmarkEnd w:id="583"/>
            <w:r w:rsidRPr="002E4D67">
              <w:rPr>
                <w:rFonts w:cstheme="minorHAnsi"/>
                <w:lang w:val="en-US"/>
              </w:rPr>
              <w:t xml:space="preserve"> hardware wallets or trusted third-party custodians.</w:t>
            </w:r>
          </w:p>
          <w:p w14:paraId="795899D8" w14:textId="77777777" w:rsidR="001073C5" w:rsidRPr="002E4D67" w:rsidRDefault="001073C5" w:rsidP="001073C5">
            <w:pPr>
              <w:pStyle w:val="Textkrper"/>
              <w:rPr>
                <w:rFonts w:cstheme="minorHAnsi"/>
                <w:lang w:val="en-US"/>
              </w:rPr>
            </w:pPr>
            <w:r w:rsidRPr="002E4D67">
              <w:rPr>
                <w:rFonts w:cstheme="minorHAnsi"/>
                <w:lang w:val="en-US"/>
              </w:rPr>
              <w:t xml:space="preserve">Governance </w:t>
            </w:r>
            <w:bookmarkStart w:id="584" w:name="_cp_change_1107"/>
            <w:r w:rsidRPr="002E4D67">
              <w:rPr>
                <w:rFonts w:cstheme="minorHAnsi"/>
                <w:lang w:val="en-US"/>
              </w:rPr>
              <w:t>&amp;</w:t>
            </w:r>
            <w:bookmarkEnd w:id="584"/>
            <w:r w:rsidRPr="002E4D67">
              <w:rPr>
                <w:rFonts w:cstheme="minorHAnsi"/>
                <w:lang w:val="en-US"/>
              </w:rPr>
              <w:t xml:space="preserve"> Risk Management</w:t>
            </w:r>
            <w:r w:rsidRPr="002E4D67">
              <w:rPr>
                <w:rFonts w:cstheme="minorHAnsi"/>
                <w:lang w:val="en-US"/>
              </w:rPr>
              <w:br/>
            </w:r>
            <w:bookmarkStart w:id="585" w:name="_cp_change_1108"/>
            <w:r w:rsidRPr="002E4D67">
              <w:rPr>
                <w:rFonts w:cstheme="minorHAnsi"/>
                <w:lang w:val="en-US"/>
              </w:rPr>
              <w:t xml:space="preserve">Internal </w:t>
            </w:r>
            <w:bookmarkStart w:id="586" w:name="_cp_change_1111"/>
            <w:bookmarkEnd w:id="585"/>
            <w:r w:rsidRPr="002E4D67">
              <w:rPr>
                <w:rFonts w:cstheme="minorHAnsi"/>
                <w:lang w:val="en-US"/>
              </w:rPr>
              <w:t>are in place for</w:t>
            </w:r>
            <w:bookmarkEnd w:id="586"/>
            <w:r w:rsidRPr="002E4D67">
              <w:rPr>
                <w:rFonts w:cstheme="minorHAnsi"/>
                <w:lang w:val="en-US"/>
              </w:rPr>
              <w:t xml:space="preserve"> liquidity</w:t>
            </w:r>
            <w:bookmarkStart w:id="587" w:name="_cp_change_1113"/>
            <w:r w:rsidRPr="002E4D67">
              <w:rPr>
                <w:rFonts w:cstheme="minorHAnsi"/>
                <w:lang w:val="en-US"/>
              </w:rPr>
              <w:t>, treasury, and</w:t>
            </w:r>
            <w:bookmarkEnd w:id="587"/>
            <w:r w:rsidRPr="002E4D67">
              <w:rPr>
                <w:rFonts w:cstheme="minorHAnsi"/>
                <w:lang w:val="en-US"/>
              </w:rPr>
              <w:t xml:space="preserve"> revenue planning</w:t>
            </w:r>
            <w:bookmarkStart w:id="588" w:name="_cp_change_1115"/>
            <w:r w:rsidRPr="002E4D67">
              <w:rPr>
                <w:rFonts w:cstheme="minorHAnsi"/>
                <w:lang w:val="en-US"/>
              </w:rPr>
              <w:t>. Risks are continuously monitored and addressed</w:t>
            </w:r>
            <w:bookmarkEnd w:id="588"/>
            <w:r w:rsidRPr="002E4D67">
              <w:rPr>
                <w:rFonts w:cstheme="minorHAnsi"/>
                <w:lang w:val="en-US"/>
              </w:rPr>
              <w:t>.</w:t>
            </w:r>
          </w:p>
          <w:p w14:paraId="5712F099" w14:textId="77777777" w:rsidR="001073C5" w:rsidRPr="002E4D67" w:rsidRDefault="001073C5" w:rsidP="001073C5">
            <w:pPr>
              <w:pStyle w:val="Textkrper"/>
              <w:rPr>
                <w:rFonts w:cstheme="minorHAnsi"/>
                <w:lang w:val="en-US"/>
              </w:rPr>
            </w:pPr>
            <w:r w:rsidRPr="002E4D67">
              <w:rPr>
                <w:rFonts w:cstheme="minorHAnsi"/>
                <w:lang w:val="en-US"/>
              </w:rPr>
              <w:t>Continuous Market Monitoring</w:t>
            </w:r>
            <w:bookmarkStart w:id="589" w:name="_cp_change_1117"/>
            <w:r w:rsidRPr="002E4D67" w:rsidDel="00C04043">
              <w:rPr>
                <w:rFonts w:cstheme="minorHAnsi"/>
                <w:lang w:val="en-US"/>
              </w:rPr>
              <w:t xml:space="preserve"> </w:t>
            </w:r>
            <w:bookmarkEnd w:id="589"/>
            <w:r w:rsidRPr="002E4D67">
              <w:rPr>
                <w:rFonts w:cstheme="minorHAnsi"/>
                <w:lang w:val="en-US"/>
              </w:rPr>
              <w:br/>
            </w:r>
            <w:bookmarkStart w:id="590" w:name="_cp_change_1118"/>
            <w:r w:rsidRPr="002E4D67">
              <w:rPr>
                <w:rFonts w:cstheme="minorHAnsi"/>
                <w:lang w:val="en-US"/>
              </w:rPr>
              <w:t xml:space="preserve">WYND </w:t>
            </w:r>
            <w:bookmarkEnd w:id="590"/>
            <w:r w:rsidRPr="002E4D67">
              <w:rPr>
                <w:rFonts w:cstheme="minorHAnsi"/>
                <w:lang w:val="en-US"/>
              </w:rPr>
              <w:t xml:space="preserve">Capital GmbH actively </w:t>
            </w:r>
            <w:bookmarkStart w:id="591" w:name="_cp_change_1121"/>
            <w:r w:rsidRPr="002E4D67">
              <w:rPr>
                <w:rFonts w:cstheme="minorHAnsi"/>
                <w:lang w:val="en-US"/>
              </w:rPr>
              <w:t>token utility</w:t>
            </w:r>
            <w:bookmarkEnd w:id="591"/>
            <w:r w:rsidRPr="002E4D67">
              <w:rPr>
                <w:rFonts w:cstheme="minorHAnsi"/>
                <w:lang w:val="en-US"/>
              </w:rPr>
              <w:t xml:space="preserve">, pricing models, and </w:t>
            </w:r>
            <w:bookmarkStart w:id="592" w:name="_cp_change_1123"/>
            <w:r w:rsidRPr="002E4D67">
              <w:rPr>
                <w:rFonts w:cstheme="minorHAnsi"/>
                <w:lang w:val="en-US"/>
              </w:rPr>
              <w:t>ecosystem features</w:t>
            </w:r>
            <w:bookmarkEnd w:id="592"/>
            <w:r w:rsidRPr="002E4D67">
              <w:rPr>
                <w:rFonts w:cstheme="minorHAnsi"/>
                <w:lang w:val="en-US"/>
              </w:rPr>
              <w:t xml:space="preserve"> to evolving industry </w:t>
            </w:r>
            <w:bookmarkStart w:id="593" w:name="_cp_change_1125"/>
            <w:r w:rsidRPr="002E4D67">
              <w:rPr>
                <w:rFonts w:cstheme="minorHAnsi"/>
                <w:lang w:val="en-US"/>
              </w:rPr>
              <w:t>standards, market conditions,</w:t>
            </w:r>
            <w:bookmarkEnd w:id="593"/>
            <w:r w:rsidRPr="002E4D67">
              <w:rPr>
                <w:rFonts w:cstheme="minorHAnsi"/>
                <w:lang w:val="en-US"/>
              </w:rPr>
              <w:t xml:space="preserve"> and regulatory requirements.</w:t>
            </w:r>
          </w:p>
        </w:tc>
      </w:tr>
      <w:tr w:rsidR="001073C5" w:rsidRPr="002E4D67" w14:paraId="5DC44911" w14:textId="77777777" w:rsidTr="00872787">
        <w:tc>
          <w:tcPr>
            <w:tcW w:w="8356" w:type="dxa"/>
            <w:gridSpan w:val="2"/>
          </w:tcPr>
          <w:p w14:paraId="50A825F0" w14:textId="2CD2A2DF" w:rsidR="001073C5" w:rsidRPr="002E4D67" w:rsidRDefault="001073C5" w:rsidP="001073C5">
            <w:pPr>
              <w:pStyle w:val="berschrift1"/>
              <w:rPr>
                <w:lang w:val="en-US"/>
              </w:rPr>
            </w:pPr>
            <w:bookmarkStart w:id="594" w:name="_Toc213179241"/>
            <w:r w:rsidRPr="002E4D67">
              <w:rPr>
                <w:lang w:val="en-US"/>
              </w:rPr>
              <w:lastRenderedPageBreak/>
              <w:t>Part J – Information on the sustainability indicators in relation to adverse impact on the climate and other environment-related adverse impacts</w:t>
            </w:r>
            <w:bookmarkEnd w:id="594"/>
          </w:p>
        </w:tc>
      </w:tr>
      <w:tr w:rsidR="001073C5" w:rsidRPr="002E4D67" w14:paraId="6899AFBB" w14:textId="77777777" w:rsidTr="00D64090">
        <w:tc>
          <w:tcPr>
            <w:tcW w:w="1985" w:type="dxa"/>
          </w:tcPr>
          <w:p w14:paraId="24A2D2D1" w14:textId="4DCFFD56" w:rsidR="001073C5" w:rsidRPr="002E4D67" w:rsidRDefault="001073C5" w:rsidP="001073C5">
            <w:pPr>
              <w:pStyle w:val="berschrift1"/>
              <w:keepNext w:val="0"/>
              <w:keepLines w:val="0"/>
              <w:rPr>
                <w:lang w:val="en-US"/>
              </w:rPr>
            </w:pPr>
            <w:bookmarkStart w:id="595" w:name="_Toc212018061"/>
            <w:bookmarkStart w:id="596" w:name="_Toc213164259"/>
            <w:bookmarkStart w:id="597" w:name="_Toc213179242"/>
            <w:r w:rsidRPr="002E4D67">
              <w:rPr>
                <w:lang w:val="en-US"/>
              </w:rPr>
              <w:t>J.1 Adverse impacts on climate and other environment-related adverse impacts</w:t>
            </w:r>
            <w:bookmarkEnd w:id="595"/>
            <w:bookmarkEnd w:id="596"/>
            <w:bookmarkEnd w:id="597"/>
          </w:p>
        </w:tc>
        <w:tc>
          <w:tcPr>
            <w:tcW w:w="6371" w:type="dxa"/>
          </w:tcPr>
          <w:p w14:paraId="2A570CFB" w14:textId="4F1D8FA6" w:rsidR="001073C5" w:rsidRPr="002E4D67" w:rsidRDefault="001073C5" w:rsidP="001073C5">
            <w:pPr>
              <w:pStyle w:val="Textkrper"/>
              <w:rPr>
                <w:rFonts w:cstheme="minorHAnsi"/>
                <w:lang w:val="en-US"/>
              </w:rPr>
            </w:pPr>
            <w:r w:rsidRPr="002E4D67">
              <w:rPr>
                <w:rFonts w:cstheme="minorHAnsi"/>
                <w:lang w:val="en-US"/>
              </w:rPr>
              <w:t>Information referred to Commission Delegated Regulation (EU) 2025/422 with regard to regulatory technical standards specifying the content, methodologies and presentation of information in respect of sustainability indicators in relation to adverse impacts on the climate and other environment-related adverse impacts</w:t>
            </w:r>
            <w:r w:rsidR="00AC4E44">
              <w:rPr>
                <w:rFonts w:cstheme="minorHAnsi"/>
                <w:lang w:val="en-US"/>
              </w:rPr>
              <w:t>.</w:t>
            </w:r>
          </w:p>
        </w:tc>
      </w:tr>
      <w:tr w:rsidR="001073C5" w:rsidRPr="002E4D67" w14:paraId="7C03AAA8" w14:textId="77777777" w:rsidTr="00AE77F1">
        <w:tc>
          <w:tcPr>
            <w:tcW w:w="8356" w:type="dxa"/>
            <w:gridSpan w:val="2"/>
          </w:tcPr>
          <w:p w14:paraId="244812BD" w14:textId="7C8D4FD3" w:rsidR="001073C5" w:rsidRPr="002E4D67" w:rsidRDefault="001073C5" w:rsidP="001073C5">
            <w:pPr>
              <w:pStyle w:val="berschrift1"/>
              <w:rPr>
                <w:lang w:val="en-US"/>
              </w:rPr>
            </w:pPr>
            <w:bookmarkStart w:id="598" w:name="_Toc213179243"/>
            <w:r w:rsidRPr="002E4D67">
              <w:rPr>
                <w:lang w:val="en-US"/>
              </w:rPr>
              <w:t>Mandatory information on principal adverse impacts on the climate and other environment-related adverse impacts of the consensus mechanism</w:t>
            </w:r>
            <w:bookmarkEnd w:id="598"/>
          </w:p>
        </w:tc>
      </w:tr>
      <w:tr w:rsidR="001073C5" w:rsidRPr="002E4D67" w14:paraId="5BD69B7D" w14:textId="77777777" w:rsidTr="00D64090">
        <w:tc>
          <w:tcPr>
            <w:tcW w:w="1985" w:type="dxa"/>
          </w:tcPr>
          <w:p w14:paraId="2BAA818B" w14:textId="77777777" w:rsidR="001073C5" w:rsidRPr="002E4D67" w:rsidRDefault="001073C5" w:rsidP="001073C5">
            <w:pPr>
              <w:pStyle w:val="Textkrper"/>
              <w:rPr>
                <w:rFonts w:cstheme="minorHAnsi"/>
                <w:sz w:val="22"/>
                <w:szCs w:val="22"/>
                <w:lang w:val="en-US"/>
              </w:rPr>
            </w:pPr>
            <w:r w:rsidRPr="002E4D67">
              <w:rPr>
                <w:rFonts w:cstheme="minorHAnsi"/>
                <w:sz w:val="22"/>
                <w:szCs w:val="22"/>
                <w:lang w:val="en-US"/>
              </w:rPr>
              <w:t>Field</w:t>
            </w:r>
          </w:p>
        </w:tc>
        <w:tc>
          <w:tcPr>
            <w:tcW w:w="6371" w:type="dxa"/>
          </w:tcPr>
          <w:p w14:paraId="47387468" w14:textId="77777777" w:rsidR="001073C5" w:rsidRPr="002E4D67" w:rsidRDefault="001073C5" w:rsidP="001073C5">
            <w:pPr>
              <w:pStyle w:val="Textkrper"/>
              <w:rPr>
                <w:rFonts w:cstheme="minorHAnsi"/>
                <w:lang w:val="en-US"/>
              </w:rPr>
            </w:pPr>
            <w:r w:rsidRPr="002E4D67">
              <w:rPr>
                <w:rFonts w:cstheme="minorHAnsi"/>
                <w:lang w:val="en-US"/>
              </w:rPr>
              <w:t>Content</w:t>
            </w:r>
          </w:p>
        </w:tc>
      </w:tr>
      <w:tr w:rsidR="001073C5" w:rsidRPr="002E4D67" w14:paraId="268CCB61" w14:textId="77777777" w:rsidTr="00133F4D">
        <w:tc>
          <w:tcPr>
            <w:tcW w:w="8356" w:type="dxa"/>
            <w:gridSpan w:val="2"/>
          </w:tcPr>
          <w:p w14:paraId="25075D23" w14:textId="3A8740F6" w:rsidR="001073C5" w:rsidRPr="002E4D67" w:rsidRDefault="001073C5" w:rsidP="001073C5">
            <w:pPr>
              <w:pStyle w:val="Textkrper"/>
              <w:rPr>
                <w:rFonts w:cstheme="minorHAnsi"/>
                <w:lang w:val="en-US"/>
              </w:rPr>
            </w:pPr>
            <w:r w:rsidRPr="002E4D67">
              <w:rPr>
                <w:rFonts w:cstheme="minorHAnsi"/>
                <w:lang w:val="en-US"/>
              </w:rPr>
              <w:t>General Information</w:t>
            </w:r>
          </w:p>
        </w:tc>
      </w:tr>
      <w:tr w:rsidR="001073C5" w:rsidRPr="002E4D67" w14:paraId="5CD672FD" w14:textId="77777777" w:rsidTr="00D64090">
        <w:tc>
          <w:tcPr>
            <w:tcW w:w="1985" w:type="dxa"/>
          </w:tcPr>
          <w:p w14:paraId="53402240" w14:textId="4CD14A52" w:rsidR="001073C5" w:rsidRPr="002E4D67" w:rsidRDefault="001073C5" w:rsidP="001073C5">
            <w:pPr>
              <w:pStyle w:val="berschrift1"/>
              <w:keepNext w:val="0"/>
              <w:keepLines w:val="0"/>
              <w:rPr>
                <w:lang w:val="en-US"/>
              </w:rPr>
            </w:pPr>
            <w:bookmarkStart w:id="599" w:name="_Toc212018064"/>
            <w:bookmarkStart w:id="600" w:name="_Toc213164260"/>
            <w:bookmarkStart w:id="601" w:name="_Toc213179244"/>
            <w:r w:rsidRPr="002E4D67">
              <w:rPr>
                <w:lang w:val="en-US"/>
              </w:rPr>
              <w:t>S.1 Name</w:t>
            </w:r>
            <w:bookmarkEnd w:id="599"/>
            <w:bookmarkEnd w:id="600"/>
            <w:bookmarkEnd w:id="601"/>
          </w:p>
        </w:tc>
        <w:tc>
          <w:tcPr>
            <w:tcW w:w="6371" w:type="dxa"/>
          </w:tcPr>
          <w:p w14:paraId="5E6ED461" w14:textId="77777777" w:rsidR="001073C5" w:rsidRPr="002E4D67" w:rsidRDefault="001073C5" w:rsidP="001073C5">
            <w:pPr>
              <w:pStyle w:val="Textkrper"/>
              <w:rPr>
                <w:rFonts w:cstheme="minorHAnsi"/>
                <w:lang w:val="en-US"/>
              </w:rPr>
            </w:pPr>
            <w:bookmarkStart w:id="602" w:name="_cp_change_1135"/>
            <w:r w:rsidRPr="002E4D67">
              <w:rPr>
                <w:rFonts w:cstheme="minorHAnsi"/>
                <w:lang w:val="en-US"/>
              </w:rPr>
              <w:t>WYND</w:t>
            </w:r>
            <w:bookmarkEnd w:id="602"/>
            <w:r w:rsidRPr="002E4D67">
              <w:rPr>
                <w:rFonts w:cstheme="minorHAnsi"/>
                <w:lang w:val="en-US"/>
              </w:rPr>
              <w:t xml:space="preserve"> Capital GmbH</w:t>
            </w:r>
          </w:p>
        </w:tc>
      </w:tr>
      <w:tr w:rsidR="001073C5" w:rsidRPr="002E4D67" w14:paraId="193D45B3" w14:textId="77777777" w:rsidTr="00D64090">
        <w:tc>
          <w:tcPr>
            <w:tcW w:w="1985" w:type="dxa"/>
          </w:tcPr>
          <w:p w14:paraId="4DED0431" w14:textId="78881602" w:rsidR="001073C5" w:rsidRPr="002E4D67" w:rsidRDefault="001073C5" w:rsidP="001073C5">
            <w:pPr>
              <w:pStyle w:val="berschrift1"/>
              <w:keepNext w:val="0"/>
              <w:keepLines w:val="0"/>
              <w:rPr>
                <w:lang w:val="en-US"/>
              </w:rPr>
            </w:pPr>
            <w:bookmarkStart w:id="603" w:name="_Toc212018066"/>
            <w:bookmarkStart w:id="604" w:name="_Toc213164261"/>
            <w:bookmarkStart w:id="605" w:name="_Toc213179245"/>
            <w:r w:rsidRPr="002E4D67">
              <w:rPr>
                <w:lang w:val="en-US"/>
              </w:rPr>
              <w:t>S.2 Relevant legal entity identifier</w:t>
            </w:r>
            <w:bookmarkEnd w:id="603"/>
            <w:bookmarkEnd w:id="604"/>
            <w:bookmarkEnd w:id="605"/>
          </w:p>
        </w:tc>
        <w:tc>
          <w:tcPr>
            <w:tcW w:w="6371" w:type="dxa"/>
          </w:tcPr>
          <w:p w14:paraId="18C6AF3C" w14:textId="24712CFB" w:rsidR="001073C5" w:rsidRPr="002E4D67" w:rsidRDefault="001073C5" w:rsidP="001073C5">
            <w:pPr>
              <w:pStyle w:val="Textkrper"/>
              <w:rPr>
                <w:rFonts w:cstheme="minorHAnsi"/>
                <w:lang w:val="en-US"/>
              </w:rPr>
            </w:pPr>
            <w:r w:rsidRPr="002E4D67">
              <w:rPr>
                <w:rFonts w:cstheme="minorHAnsi"/>
                <w:lang w:val="en-US"/>
              </w:rPr>
              <w:t xml:space="preserve">LEI </w:t>
            </w:r>
            <w:r w:rsidRPr="002E4D67">
              <w:rPr>
                <w:rFonts w:ascii="Arial" w:hAnsi="Arial" w:cs="Arial"/>
                <w:color w:val="2F2F2F"/>
                <w:sz w:val="21"/>
                <w:szCs w:val="21"/>
                <w:shd w:val="clear" w:color="auto" w:fill="FFFFFF"/>
                <w:lang w:val="en-US"/>
              </w:rPr>
              <w:t>5299009TAO6KQPMSWG48</w:t>
            </w:r>
          </w:p>
        </w:tc>
      </w:tr>
      <w:tr w:rsidR="001073C5" w:rsidRPr="002E4D67" w14:paraId="1B8131DC" w14:textId="77777777" w:rsidTr="00D64090">
        <w:tc>
          <w:tcPr>
            <w:tcW w:w="1985" w:type="dxa"/>
          </w:tcPr>
          <w:p w14:paraId="5FCAB1C1" w14:textId="302DD32A" w:rsidR="001073C5" w:rsidRPr="002E4D67" w:rsidRDefault="001073C5" w:rsidP="001073C5">
            <w:pPr>
              <w:pStyle w:val="berschrift1"/>
              <w:keepNext w:val="0"/>
              <w:keepLines w:val="0"/>
              <w:rPr>
                <w:lang w:val="en-US"/>
              </w:rPr>
            </w:pPr>
            <w:bookmarkStart w:id="606" w:name="_Toc212018068"/>
            <w:bookmarkStart w:id="607" w:name="_Toc213164262"/>
            <w:bookmarkStart w:id="608" w:name="_Toc213179246"/>
            <w:r w:rsidRPr="002E4D67">
              <w:rPr>
                <w:lang w:val="en-US"/>
              </w:rPr>
              <w:t>S.3 Name of the crypto assets</w:t>
            </w:r>
            <w:bookmarkEnd w:id="606"/>
            <w:bookmarkEnd w:id="607"/>
            <w:bookmarkEnd w:id="608"/>
          </w:p>
        </w:tc>
        <w:tc>
          <w:tcPr>
            <w:tcW w:w="6371" w:type="dxa"/>
          </w:tcPr>
          <w:p w14:paraId="7E1234D1" w14:textId="77777777" w:rsidR="001073C5" w:rsidRPr="002E4D67" w:rsidRDefault="001073C5" w:rsidP="001073C5">
            <w:pPr>
              <w:pStyle w:val="Textkrper"/>
              <w:rPr>
                <w:rFonts w:cstheme="minorHAnsi"/>
                <w:lang w:val="en-US"/>
              </w:rPr>
            </w:pPr>
            <w:r w:rsidRPr="002E4D67">
              <w:rPr>
                <w:rFonts w:cstheme="minorHAnsi"/>
                <w:lang w:val="en-US"/>
              </w:rPr>
              <w:t>$WYND Token</w:t>
            </w:r>
          </w:p>
        </w:tc>
      </w:tr>
      <w:tr w:rsidR="001073C5" w:rsidRPr="002E4D67" w14:paraId="0B017304" w14:textId="77777777" w:rsidTr="00D64090">
        <w:tc>
          <w:tcPr>
            <w:tcW w:w="1985" w:type="dxa"/>
          </w:tcPr>
          <w:p w14:paraId="4D3595C2" w14:textId="4402C8FE" w:rsidR="001073C5" w:rsidRPr="002E4D67" w:rsidRDefault="001073C5" w:rsidP="001073C5">
            <w:pPr>
              <w:pStyle w:val="berschrift1"/>
              <w:keepNext w:val="0"/>
              <w:keepLines w:val="0"/>
              <w:rPr>
                <w:lang w:val="en-US"/>
              </w:rPr>
            </w:pPr>
            <w:bookmarkStart w:id="609" w:name="_Toc212018070"/>
            <w:bookmarkStart w:id="610" w:name="_Toc213164263"/>
            <w:bookmarkStart w:id="611" w:name="_Toc213179247"/>
            <w:r w:rsidRPr="002E4D67">
              <w:rPr>
                <w:lang w:val="en-US"/>
              </w:rPr>
              <w:lastRenderedPageBreak/>
              <w:t>S.4 Consensus Mechanism</w:t>
            </w:r>
            <w:bookmarkEnd w:id="609"/>
            <w:bookmarkEnd w:id="610"/>
            <w:bookmarkEnd w:id="611"/>
          </w:p>
        </w:tc>
        <w:tc>
          <w:tcPr>
            <w:tcW w:w="6371" w:type="dxa"/>
          </w:tcPr>
          <w:p w14:paraId="1BBF0A79" w14:textId="04ED8373" w:rsidR="001073C5" w:rsidRPr="002E4D67" w:rsidRDefault="00420EE5" w:rsidP="001073C5">
            <w:pPr>
              <w:pStyle w:val="Textkrper"/>
              <w:rPr>
                <w:rFonts w:cstheme="minorHAnsi"/>
                <w:lang w:val="en-US"/>
              </w:rPr>
            </w:pPr>
            <w:r>
              <w:t>Ethereum Proof-of-Stake (PoS)</w:t>
            </w:r>
          </w:p>
        </w:tc>
      </w:tr>
      <w:tr w:rsidR="001073C5" w:rsidRPr="002E4D67" w14:paraId="39E2D6A0" w14:textId="77777777" w:rsidTr="00D64090">
        <w:tc>
          <w:tcPr>
            <w:tcW w:w="1985" w:type="dxa"/>
          </w:tcPr>
          <w:p w14:paraId="6BBEDE7A" w14:textId="1A764E5A" w:rsidR="001073C5" w:rsidRPr="002E4D67" w:rsidRDefault="001073C5" w:rsidP="001073C5">
            <w:pPr>
              <w:pStyle w:val="berschrift1"/>
              <w:keepNext w:val="0"/>
              <w:keepLines w:val="0"/>
              <w:rPr>
                <w:lang w:val="en-US"/>
              </w:rPr>
            </w:pPr>
            <w:bookmarkStart w:id="612" w:name="_Toc212018072"/>
            <w:bookmarkStart w:id="613" w:name="_Toc213164264"/>
            <w:bookmarkStart w:id="614" w:name="_Toc213179248"/>
            <w:r w:rsidRPr="002E4D67">
              <w:rPr>
                <w:lang w:val="en-US"/>
              </w:rPr>
              <w:t>S.5 Incentive Mechanisms and Applicable Fees</w:t>
            </w:r>
            <w:bookmarkEnd w:id="612"/>
            <w:bookmarkEnd w:id="613"/>
            <w:bookmarkEnd w:id="614"/>
          </w:p>
        </w:tc>
        <w:tc>
          <w:tcPr>
            <w:tcW w:w="6371" w:type="dxa"/>
          </w:tcPr>
          <w:p w14:paraId="1469CCCF" w14:textId="4D1DC8F9" w:rsidR="001073C5" w:rsidRPr="002E4D67" w:rsidRDefault="00420EE5" w:rsidP="001073C5">
            <w:pPr>
              <w:pStyle w:val="Textkrper"/>
              <w:rPr>
                <w:rFonts w:cstheme="minorHAnsi"/>
                <w:lang w:val="en-US"/>
              </w:rPr>
            </w:pPr>
            <w:r>
              <w:t>Ethereum PoS relies on validator staking rewards and transaction fees (“gas fees”) paid by users. $WYND transactions incur standard gas fees on the underlying network; no additional consensus-related fees are charged by the issuer.</w:t>
            </w:r>
          </w:p>
        </w:tc>
      </w:tr>
      <w:tr w:rsidR="001073C5" w:rsidRPr="002E4D67" w14:paraId="768B6A87" w14:textId="77777777" w:rsidTr="00D64090">
        <w:tc>
          <w:tcPr>
            <w:tcW w:w="1985" w:type="dxa"/>
          </w:tcPr>
          <w:p w14:paraId="012B02DE" w14:textId="46956CC8" w:rsidR="001073C5" w:rsidRPr="002E4D67" w:rsidRDefault="001073C5" w:rsidP="001073C5">
            <w:pPr>
              <w:pStyle w:val="berschrift1"/>
              <w:keepNext w:val="0"/>
              <w:keepLines w:val="0"/>
              <w:rPr>
                <w:lang w:val="en-US"/>
              </w:rPr>
            </w:pPr>
            <w:bookmarkStart w:id="615" w:name="_Toc212018074"/>
            <w:bookmarkStart w:id="616" w:name="_Toc213164265"/>
            <w:bookmarkStart w:id="617" w:name="_Toc213179249"/>
            <w:r w:rsidRPr="002E4D67">
              <w:rPr>
                <w:lang w:val="en-US"/>
              </w:rPr>
              <w:t>S.6 Beginning of the period to which the disclosure relate</w:t>
            </w:r>
            <w:bookmarkEnd w:id="615"/>
            <w:bookmarkEnd w:id="616"/>
            <w:bookmarkEnd w:id="617"/>
          </w:p>
        </w:tc>
        <w:tc>
          <w:tcPr>
            <w:tcW w:w="6371" w:type="dxa"/>
          </w:tcPr>
          <w:p w14:paraId="6A19B040" w14:textId="47A46E4D" w:rsidR="001073C5" w:rsidRPr="002E4D67" w:rsidRDefault="001073C5" w:rsidP="001073C5">
            <w:pPr>
              <w:pStyle w:val="Textkrper"/>
              <w:rPr>
                <w:rFonts w:cstheme="minorHAnsi"/>
                <w:lang w:val="en-US"/>
              </w:rPr>
            </w:pPr>
            <w:r w:rsidRPr="002E4D67">
              <w:rPr>
                <w:rFonts w:cstheme="minorHAnsi"/>
                <w:lang w:val="en-US"/>
              </w:rPr>
              <w:t>N/a as this token has not yet been minted.</w:t>
            </w:r>
          </w:p>
        </w:tc>
      </w:tr>
      <w:tr w:rsidR="001073C5" w:rsidRPr="002E4D67" w14:paraId="7C9B2CE1" w14:textId="77777777" w:rsidTr="00D64090">
        <w:tc>
          <w:tcPr>
            <w:tcW w:w="1985" w:type="dxa"/>
          </w:tcPr>
          <w:p w14:paraId="7B7AAD71" w14:textId="4A8C412D" w:rsidR="001073C5" w:rsidRPr="002E4D67" w:rsidRDefault="001073C5" w:rsidP="001073C5">
            <w:pPr>
              <w:pStyle w:val="berschrift1"/>
              <w:keepNext w:val="0"/>
              <w:keepLines w:val="0"/>
              <w:rPr>
                <w:lang w:val="en-US"/>
              </w:rPr>
            </w:pPr>
            <w:bookmarkStart w:id="618" w:name="_Toc212018076"/>
            <w:bookmarkStart w:id="619" w:name="_Toc213164266"/>
            <w:bookmarkStart w:id="620" w:name="_Toc213179250"/>
            <w:r w:rsidRPr="002E4D67">
              <w:rPr>
                <w:lang w:val="en-US"/>
              </w:rPr>
              <w:t>S.7 End of the period to which the disclosure relates</w:t>
            </w:r>
            <w:bookmarkEnd w:id="618"/>
            <w:bookmarkEnd w:id="619"/>
            <w:bookmarkEnd w:id="620"/>
          </w:p>
        </w:tc>
        <w:tc>
          <w:tcPr>
            <w:tcW w:w="6371" w:type="dxa"/>
          </w:tcPr>
          <w:p w14:paraId="2C5CBBBE" w14:textId="57DE761C" w:rsidR="001073C5" w:rsidRPr="002E4D67" w:rsidRDefault="001073C5" w:rsidP="001073C5">
            <w:pPr>
              <w:pStyle w:val="Textkrper"/>
              <w:rPr>
                <w:rFonts w:cstheme="minorHAnsi"/>
                <w:lang w:val="en-US"/>
              </w:rPr>
            </w:pPr>
            <w:r w:rsidRPr="002E4D67">
              <w:rPr>
                <w:rFonts w:cstheme="minorHAnsi"/>
                <w:lang w:val="en-US"/>
              </w:rPr>
              <w:t>N/a as this token has not yet been minted.</w:t>
            </w:r>
          </w:p>
        </w:tc>
      </w:tr>
      <w:tr w:rsidR="001073C5" w:rsidRPr="002E4D67" w14:paraId="3EE08A51" w14:textId="77777777" w:rsidTr="00D64090">
        <w:tc>
          <w:tcPr>
            <w:tcW w:w="1985" w:type="dxa"/>
          </w:tcPr>
          <w:p w14:paraId="51564396" w14:textId="0737781F" w:rsidR="001073C5" w:rsidRPr="002E4D67" w:rsidRDefault="001073C5" w:rsidP="001073C5">
            <w:pPr>
              <w:pStyle w:val="berschrift1"/>
              <w:keepNext w:val="0"/>
              <w:keepLines w:val="0"/>
              <w:rPr>
                <w:lang w:val="en-US"/>
              </w:rPr>
            </w:pPr>
            <w:bookmarkStart w:id="621" w:name="_Toc212018079"/>
            <w:bookmarkStart w:id="622" w:name="_Toc213164267"/>
            <w:bookmarkStart w:id="623" w:name="_Toc213179251"/>
            <w:r w:rsidRPr="002E4D67">
              <w:rPr>
                <w:lang w:val="en-US"/>
              </w:rPr>
              <w:t>S.8 Energy consumption</w:t>
            </w:r>
            <w:bookmarkEnd w:id="621"/>
            <w:bookmarkEnd w:id="622"/>
            <w:bookmarkEnd w:id="623"/>
          </w:p>
        </w:tc>
        <w:tc>
          <w:tcPr>
            <w:tcW w:w="6371" w:type="dxa"/>
          </w:tcPr>
          <w:p w14:paraId="756BAD34" w14:textId="752AEF28" w:rsidR="001073C5" w:rsidRPr="00E72738" w:rsidRDefault="007B67BA" w:rsidP="001073C5">
            <w:pPr>
              <w:pStyle w:val="Textkrper"/>
            </w:pPr>
            <w:r>
              <w:t xml:space="preserve">„0 kWh“ . </w:t>
            </w:r>
            <w:r w:rsidR="00E72738">
              <w:t xml:space="preserve">Because the $WYND Utility Token has not yet been minted and no on-chain transactions have taken place, the token has currently generated </w:t>
            </w:r>
            <w:r w:rsidR="00E72738">
              <w:rPr>
                <w:rStyle w:val="Hervorhebung"/>
              </w:rPr>
              <w:t>zero</w:t>
            </w:r>
            <w:r w:rsidR="00E72738">
              <w:t xml:space="preserve"> energy consumption. Once minting begins, energy consumption will be determined by the consumption of the underlying blockchain (Ethereum Proof-of-Stake or designated Layer-2). WYND Capital GmbH will collect, calculate and disclose token-related energy consumption in accordance with Commission Delegated Regulation (EU) 2025/422 using publicly available chain-level data and recognised methodologies.</w:t>
            </w:r>
          </w:p>
        </w:tc>
      </w:tr>
      <w:tr w:rsidR="001073C5" w:rsidRPr="002E4D67" w14:paraId="41EAD78F" w14:textId="77777777" w:rsidTr="00D64090">
        <w:tc>
          <w:tcPr>
            <w:tcW w:w="1985" w:type="dxa"/>
          </w:tcPr>
          <w:p w14:paraId="44A7B133" w14:textId="0BC85E0B" w:rsidR="001073C5" w:rsidRPr="002E4D67" w:rsidRDefault="001073C5" w:rsidP="001073C5">
            <w:pPr>
              <w:pStyle w:val="berschrift1"/>
              <w:keepNext w:val="0"/>
              <w:keepLines w:val="0"/>
              <w:rPr>
                <w:lang w:val="en-US"/>
              </w:rPr>
            </w:pPr>
            <w:bookmarkStart w:id="624" w:name="_Toc212018081"/>
            <w:bookmarkStart w:id="625" w:name="_Toc213164268"/>
            <w:bookmarkStart w:id="626" w:name="_Toc213179252"/>
            <w:r w:rsidRPr="002E4D67">
              <w:rPr>
                <w:lang w:val="en-US"/>
              </w:rPr>
              <w:t>S.9 Energy consumption sources and methodologies</w:t>
            </w:r>
            <w:bookmarkEnd w:id="624"/>
            <w:bookmarkEnd w:id="625"/>
            <w:bookmarkEnd w:id="626"/>
          </w:p>
        </w:tc>
        <w:tc>
          <w:tcPr>
            <w:tcW w:w="6371" w:type="dxa"/>
          </w:tcPr>
          <w:p w14:paraId="31B83376" w14:textId="398AB173" w:rsidR="00E72738" w:rsidRPr="00E72738" w:rsidRDefault="00E72738" w:rsidP="00E72738">
            <w:pPr>
              <w:pStyle w:val="Textkrper"/>
              <w:jc w:val="left"/>
              <w:rPr>
                <w:rFonts w:cstheme="minorHAnsi"/>
                <w:lang w:val="en-US"/>
              </w:rPr>
            </w:pPr>
            <w:r>
              <w:t xml:space="preserve">Because the $WYND Utility Token has </w:t>
            </w:r>
            <w:r>
              <w:rPr>
                <w:rStyle w:val="Fett"/>
              </w:rPr>
              <w:t>not yet been minted</w:t>
            </w:r>
            <w:r>
              <w:t xml:space="preserve"> and no on-chain transactions have taken place at this stage, </w:t>
            </w:r>
            <w:r>
              <w:rPr>
                <w:rStyle w:val="Fett"/>
              </w:rPr>
              <w:t>no measurable energy consumption has occurred</w:t>
            </w:r>
            <w:r>
              <w:t>.</w:t>
            </w:r>
            <w:r>
              <w:br/>
              <w:t>Accordingly, no token-specific energy sources have been used so far.</w:t>
            </w:r>
          </w:p>
          <w:p w14:paraId="029AFEED" w14:textId="77777777" w:rsidR="00E72738" w:rsidRDefault="00E72738" w:rsidP="00E72738">
            <w:pPr>
              <w:pStyle w:val="StandardWeb"/>
              <w:jc w:val="left"/>
            </w:pPr>
            <w:r>
              <w:t>After the token launch, the energy consumption attributable to $WYND will be determined using the following methodology:</w:t>
            </w:r>
          </w:p>
          <w:p w14:paraId="0F328166" w14:textId="77777777" w:rsidR="00E72738" w:rsidRDefault="00E72738" w:rsidP="00E72738">
            <w:pPr>
              <w:pStyle w:val="StandardWeb"/>
              <w:numPr>
                <w:ilvl w:val="0"/>
                <w:numId w:val="93"/>
              </w:numPr>
              <w:overflowPunct/>
              <w:autoSpaceDE/>
              <w:autoSpaceDN/>
              <w:adjustRightInd/>
              <w:spacing w:before="100" w:beforeAutospacing="1" w:after="100" w:afterAutospacing="1" w:line="240" w:lineRule="auto"/>
              <w:jc w:val="left"/>
              <w:textAlignment w:val="auto"/>
            </w:pPr>
            <w:r>
              <w:rPr>
                <w:rStyle w:val="Fett"/>
              </w:rPr>
              <w:t>Blockchain-Level Energy Data</w:t>
            </w:r>
            <w:r>
              <w:br/>
              <w:t>Energy consumption will be based on publicly available and independently verified data for the underlying blockchain (Ethereum Proof-of-Stake or designated Layer-2 network).</w:t>
            </w:r>
            <w:r>
              <w:br/>
              <w:t>This includes:</w:t>
            </w:r>
          </w:p>
          <w:p w14:paraId="1F9ADB7C" w14:textId="77777777" w:rsidR="00E72738" w:rsidRDefault="00E72738" w:rsidP="00E72738">
            <w:pPr>
              <w:pStyle w:val="StandardWeb"/>
              <w:numPr>
                <w:ilvl w:val="1"/>
                <w:numId w:val="93"/>
              </w:numPr>
              <w:overflowPunct/>
              <w:autoSpaceDE/>
              <w:autoSpaceDN/>
              <w:adjustRightInd/>
              <w:spacing w:before="100" w:beforeAutospacing="1" w:after="100" w:afterAutospacing="1" w:line="240" w:lineRule="auto"/>
              <w:jc w:val="left"/>
              <w:textAlignment w:val="auto"/>
            </w:pPr>
            <w:r>
              <w:t>chain-level life-cycle analyses (LCA),</w:t>
            </w:r>
          </w:p>
          <w:p w14:paraId="12E2DBB9" w14:textId="77777777" w:rsidR="00E72738" w:rsidRDefault="00E72738" w:rsidP="00E72738">
            <w:pPr>
              <w:pStyle w:val="StandardWeb"/>
              <w:numPr>
                <w:ilvl w:val="1"/>
                <w:numId w:val="93"/>
              </w:numPr>
              <w:overflowPunct/>
              <w:autoSpaceDE/>
              <w:autoSpaceDN/>
              <w:adjustRightInd/>
              <w:spacing w:before="100" w:beforeAutospacing="1" w:after="100" w:afterAutospacing="1" w:line="240" w:lineRule="auto"/>
              <w:jc w:val="left"/>
              <w:textAlignment w:val="auto"/>
            </w:pPr>
            <w:r>
              <w:t>annualised energy consumption reports,</w:t>
            </w:r>
          </w:p>
          <w:p w14:paraId="2413FA1C" w14:textId="77777777" w:rsidR="00E72738" w:rsidRDefault="00E72738" w:rsidP="00E72738">
            <w:pPr>
              <w:pStyle w:val="StandardWeb"/>
              <w:numPr>
                <w:ilvl w:val="1"/>
                <w:numId w:val="93"/>
              </w:numPr>
              <w:overflowPunct/>
              <w:autoSpaceDE/>
              <w:autoSpaceDN/>
              <w:adjustRightInd/>
              <w:spacing w:before="100" w:beforeAutospacing="1" w:after="100" w:afterAutospacing="1" w:line="240" w:lineRule="auto"/>
              <w:jc w:val="left"/>
              <w:textAlignment w:val="auto"/>
            </w:pPr>
            <w:r>
              <w:lastRenderedPageBreak/>
              <w:t>node and validator energy statistics published by recognised research institutions (e.g., CCRI, Digiconomist, Ethereum Foundation sustainability data).</w:t>
            </w:r>
          </w:p>
          <w:p w14:paraId="2D6EDCF7" w14:textId="77777777" w:rsidR="00E72738" w:rsidRDefault="00E72738" w:rsidP="00E72738">
            <w:pPr>
              <w:pStyle w:val="StandardWeb"/>
              <w:numPr>
                <w:ilvl w:val="0"/>
                <w:numId w:val="93"/>
              </w:numPr>
              <w:overflowPunct/>
              <w:autoSpaceDE/>
              <w:autoSpaceDN/>
              <w:adjustRightInd/>
              <w:spacing w:before="100" w:beforeAutospacing="1" w:after="100" w:afterAutospacing="1" w:line="240" w:lineRule="auto"/>
              <w:jc w:val="left"/>
              <w:textAlignment w:val="auto"/>
            </w:pPr>
            <w:r>
              <w:rPr>
                <w:rStyle w:val="Fett"/>
              </w:rPr>
              <w:t>Transaction-Based Allocation Method</w:t>
            </w:r>
            <w:r>
              <w:br/>
              <w:t>WYND Capital GmbH will calculate the token-related energy consumption by applying a proportional allocation model:</w:t>
            </w:r>
          </w:p>
          <w:p w14:paraId="111FAC93" w14:textId="1D47637A" w:rsidR="00E72738" w:rsidRDefault="00E72738" w:rsidP="00E72738">
            <w:pPr>
              <w:pStyle w:val="StandardWeb"/>
              <w:numPr>
                <w:ilvl w:val="1"/>
                <w:numId w:val="93"/>
              </w:numPr>
              <w:overflowPunct/>
              <w:autoSpaceDE/>
              <w:autoSpaceDN/>
              <w:adjustRightInd/>
              <w:spacing w:before="100" w:beforeAutospacing="1" w:after="100" w:afterAutospacing="1" w:line="240" w:lineRule="auto"/>
              <w:jc w:val="left"/>
              <w:textAlignment w:val="auto"/>
            </w:pPr>
            <w:r>
              <w:t>total chain energy → divided by total number of transactions → multiplied by number of $WYND-related transactions..</w:t>
            </w:r>
          </w:p>
          <w:p w14:paraId="072C49C4" w14:textId="77777777" w:rsidR="00E72738" w:rsidRDefault="00E72738" w:rsidP="00E72738">
            <w:pPr>
              <w:pStyle w:val="StandardWeb"/>
              <w:numPr>
                <w:ilvl w:val="0"/>
                <w:numId w:val="93"/>
              </w:numPr>
              <w:overflowPunct/>
              <w:autoSpaceDE/>
              <w:autoSpaceDN/>
              <w:adjustRightInd/>
              <w:spacing w:before="100" w:beforeAutospacing="1" w:after="100" w:afterAutospacing="1" w:line="240" w:lineRule="auto"/>
              <w:jc w:val="left"/>
              <w:textAlignment w:val="auto"/>
            </w:pPr>
            <w:r>
              <w:rPr>
                <w:rStyle w:val="Fett"/>
              </w:rPr>
              <w:t>Reporting Frequency</w:t>
            </w:r>
            <w:r>
              <w:br/>
              <w:t>As required by Regulation (EU) 2025/422, token-related energy consumption will be:</w:t>
            </w:r>
          </w:p>
          <w:p w14:paraId="491686D2" w14:textId="77777777" w:rsidR="00E72738" w:rsidRDefault="00E72738" w:rsidP="00E72738">
            <w:pPr>
              <w:pStyle w:val="StandardWeb"/>
              <w:numPr>
                <w:ilvl w:val="1"/>
                <w:numId w:val="93"/>
              </w:numPr>
              <w:overflowPunct/>
              <w:autoSpaceDE/>
              <w:autoSpaceDN/>
              <w:adjustRightInd/>
              <w:spacing w:before="100" w:beforeAutospacing="1" w:after="100" w:afterAutospacing="1" w:line="240" w:lineRule="auto"/>
              <w:jc w:val="left"/>
              <w:textAlignment w:val="auto"/>
            </w:pPr>
            <w:r>
              <w:t>measured after on-chain activity begins,</w:t>
            </w:r>
          </w:p>
          <w:p w14:paraId="003EFCFC" w14:textId="77777777" w:rsidR="00E72738" w:rsidRDefault="00E72738" w:rsidP="00E72738">
            <w:pPr>
              <w:pStyle w:val="StandardWeb"/>
              <w:numPr>
                <w:ilvl w:val="1"/>
                <w:numId w:val="93"/>
              </w:numPr>
              <w:overflowPunct/>
              <w:autoSpaceDE/>
              <w:autoSpaceDN/>
              <w:adjustRightInd/>
              <w:spacing w:before="100" w:beforeAutospacing="1" w:after="100" w:afterAutospacing="1" w:line="240" w:lineRule="auto"/>
              <w:jc w:val="left"/>
              <w:textAlignment w:val="auto"/>
            </w:pPr>
            <w:r>
              <w:t>updated annually,</w:t>
            </w:r>
          </w:p>
          <w:p w14:paraId="0B7C0918" w14:textId="77777777" w:rsidR="00E72738" w:rsidRDefault="00E72738" w:rsidP="00E72738">
            <w:pPr>
              <w:pStyle w:val="StandardWeb"/>
              <w:numPr>
                <w:ilvl w:val="1"/>
                <w:numId w:val="93"/>
              </w:numPr>
              <w:overflowPunct/>
              <w:autoSpaceDE/>
              <w:autoSpaceDN/>
              <w:adjustRightInd/>
              <w:spacing w:before="100" w:beforeAutospacing="1" w:after="100" w:afterAutospacing="1" w:line="240" w:lineRule="auto"/>
              <w:jc w:val="left"/>
              <w:textAlignment w:val="auto"/>
            </w:pPr>
            <w:r>
              <w:t>accompanied by methodological notes and references to the original energy sources.</w:t>
            </w:r>
          </w:p>
          <w:p w14:paraId="3075A461" w14:textId="77777777" w:rsidR="00E72738" w:rsidRDefault="00E72738" w:rsidP="00E72738">
            <w:pPr>
              <w:pStyle w:val="StandardWeb"/>
              <w:jc w:val="left"/>
            </w:pPr>
            <w:r>
              <w:t xml:space="preserve">Until minting and on-chain activity commence, </w:t>
            </w:r>
            <w:r>
              <w:rPr>
                <w:rStyle w:val="Fett"/>
              </w:rPr>
              <w:t>no quantitative values can be reported</w:t>
            </w:r>
            <w:r>
              <w:t xml:space="preserve">, as the token’s energy footprint is currently </w:t>
            </w:r>
            <w:r>
              <w:rPr>
                <w:rStyle w:val="Fett"/>
              </w:rPr>
              <w:t>zero</w:t>
            </w:r>
            <w:r>
              <w:t>.</w:t>
            </w:r>
          </w:p>
          <w:p w14:paraId="7045D435" w14:textId="63696F92" w:rsidR="001073C5" w:rsidRPr="002E4D67" w:rsidRDefault="001073C5" w:rsidP="00E72738">
            <w:pPr>
              <w:pStyle w:val="Textkrper"/>
              <w:jc w:val="left"/>
              <w:rPr>
                <w:rFonts w:cstheme="minorHAnsi"/>
                <w:lang w:val="en-US"/>
              </w:rPr>
            </w:pPr>
            <w:r w:rsidRPr="002E4D67">
              <w:rPr>
                <w:rFonts w:cstheme="minorHAnsi"/>
                <w:lang w:val="en-US"/>
              </w:rPr>
              <w:t xml:space="preserve"> </w:t>
            </w:r>
          </w:p>
        </w:tc>
      </w:tr>
      <w:tr w:rsidR="001073C5" w:rsidRPr="002E4D67" w14:paraId="5D388590" w14:textId="77777777" w:rsidTr="006C4098">
        <w:tc>
          <w:tcPr>
            <w:tcW w:w="8356" w:type="dxa"/>
            <w:gridSpan w:val="2"/>
          </w:tcPr>
          <w:p w14:paraId="575118FD" w14:textId="66B14C14" w:rsidR="001073C5" w:rsidRPr="002E4D67" w:rsidRDefault="001073C5" w:rsidP="00E72738">
            <w:pPr>
              <w:pStyle w:val="Textkrper"/>
              <w:jc w:val="left"/>
              <w:rPr>
                <w:rFonts w:cstheme="minorHAnsi"/>
                <w:lang w:val="en-US"/>
              </w:rPr>
            </w:pPr>
            <w:r w:rsidRPr="002E4D67">
              <w:rPr>
                <w:rFonts w:cstheme="minorHAnsi"/>
                <w:lang w:val="en-US"/>
              </w:rPr>
              <w:lastRenderedPageBreak/>
              <w:t>Supplementary key indicators on energy and GHG emissions</w:t>
            </w:r>
          </w:p>
        </w:tc>
      </w:tr>
      <w:tr w:rsidR="001073C5" w:rsidRPr="002E4D67" w14:paraId="6FA5930A" w14:textId="77777777" w:rsidTr="00D64090">
        <w:tc>
          <w:tcPr>
            <w:tcW w:w="1985" w:type="dxa"/>
          </w:tcPr>
          <w:p w14:paraId="065919FE" w14:textId="239DFE8B" w:rsidR="001073C5" w:rsidRPr="002E4D67" w:rsidRDefault="001073C5" w:rsidP="001073C5">
            <w:pPr>
              <w:pStyle w:val="berschrift1"/>
              <w:keepNext w:val="0"/>
              <w:keepLines w:val="0"/>
              <w:rPr>
                <w:lang w:val="en-US"/>
              </w:rPr>
            </w:pPr>
            <w:bookmarkStart w:id="627" w:name="_Toc212018084"/>
            <w:bookmarkStart w:id="628" w:name="_Toc213164269"/>
            <w:bookmarkStart w:id="629" w:name="_Toc213179253"/>
            <w:r w:rsidRPr="002E4D67">
              <w:rPr>
                <w:lang w:val="en-US"/>
              </w:rPr>
              <w:t>S.10 Renewable energy consumption</w:t>
            </w:r>
            <w:bookmarkEnd w:id="627"/>
            <w:bookmarkEnd w:id="628"/>
            <w:bookmarkEnd w:id="629"/>
          </w:p>
        </w:tc>
        <w:tc>
          <w:tcPr>
            <w:tcW w:w="6371" w:type="dxa"/>
          </w:tcPr>
          <w:p w14:paraId="4CB38852" w14:textId="61782712" w:rsidR="00E72738" w:rsidRDefault="00E72738" w:rsidP="00E72738">
            <w:pPr>
              <w:pStyle w:val="StandardWeb"/>
            </w:pPr>
            <w:r>
              <w:t xml:space="preserve">Because the $WYND Utility Token has not yet been minted and no blockchain transactions have occurred, </w:t>
            </w:r>
            <w:r>
              <w:rPr>
                <w:rStyle w:val="Fett"/>
              </w:rPr>
              <w:t>no renewable or non-renewable energy has been consumed to date</w:t>
            </w:r>
            <w:r>
              <w:t>.</w:t>
            </w:r>
          </w:p>
          <w:p w14:paraId="1E81A0AF" w14:textId="77777777" w:rsidR="00E72738" w:rsidRDefault="00E72738" w:rsidP="00E72738">
            <w:pPr>
              <w:pStyle w:val="StandardWeb"/>
            </w:pPr>
            <w:r>
              <w:t>After token launch, renewable energy consumption will be determined indirectly using publicly available sustainability reports from the underlying blockchain (Ethereum Proof-of-Stake or designated Layer-2). These reports include:</w:t>
            </w:r>
          </w:p>
          <w:p w14:paraId="6DFE2CD1" w14:textId="77777777" w:rsidR="00E72738" w:rsidRDefault="00E72738" w:rsidP="00E72738">
            <w:pPr>
              <w:pStyle w:val="StandardWeb"/>
              <w:numPr>
                <w:ilvl w:val="0"/>
                <w:numId w:val="94"/>
              </w:numPr>
              <w:overflowPunct/>
              <w:autoSpaceDE/>
              <w:autoSpaceDN/>
              <w:adjustRightInd/>
              <w:spacing w:before="100" w:beforeAutospacing="1" w:after="100" w:afterAutospacing="1" w:line="240" w:lineRule="auto"/>
              <w:jc w:val="left"/>
              <w:textAlignment w:val="auto"/>
            </w:pPr>
            <w:r>
              <w:t>validator energy sources,</w:t>
            </w:r>
          </w:p>
          <w:p w14:paraId="4B0A468F" w14:textId="77777777" w:rsidR="00E72738" w:rsidRDefault="00E72738" w:rsidP="00E72738">
            <w:pPr>
              <w:pStyle w:val="StandardWeb"/>
              <w:numPr>
                <w:ilvl w:val="0"/>
                <w:numId w:val="94"/>
              </w:numPr>
              <w:overflowPunct/>
              <w:autoSpaceDE/>
              <w:autoSpaceDN/>
              <w:adjustRightInd/>
              <w:spacing w:before="100" w:beforeAutospacing="1" w:after="100" w:afterAutospacing="1" w:line="240" w:lineRule="auto"/>
              <w:jc w:val="left"/>
              <w:textAlignment w:val="auto"/>
            </w:pPr>
            <w:r>
              <w:t>renewable energy share used by node operators,</w:t>
            </w:r>
          </w:p>
          <w:p w14:paraId="6441C6B8" w14:textId="77777777" w:rsidR="00E72738" w:rsidRDefault="00E72738" w:rsidP="00E72738">
            <w:pPr>
              <w:pStyle w:val="StandardWeb"/>
              <w:numPr>
                <w:ilvl w:val="0"/>
                <w:numId w:val="94"/>
              </w:numPr>
              <w:overflowPunct/>
              <w:autoSpaceDE/>
              <w:autoSpaceDN/>
              <w:adjustRightInd/>
              <w:spacing w:before="100" w:beforeAutospacing="1" w:after="100" w:afterAutospacing="1" w:line="240" w:lineRule="auto"/>
              <w:jc w:val="left"/>
              <w:textAlignment w:val="auto"/>
            </w:pPr>
            <w:r>
              <w:t>aggregated LCA (Life-Cycle Assessment) data.</w:t>
            </w:r>
          </w:p>
          <w:p w14:paraId="4A717AD4" w14:textId="77777777" w:rsidR="00E72738" w:rsidRDefault="00E72738" w:rsidP="00E72738">
            <w:pPr>
              <w:pStyle w:val="StandardWeb"/>
            </w:pPr>
            <w:r>
              <w:t>WYND Capital GmbH will disclose this information annually once measurable token-related activity exists.</w:t>
            </w:r>
          </w:p>
          <w:p w14:paraId="2346D6A7" w14:textId="7E81E5C3" w:rsidR="001073C5" w:rsidRPr="002E4D67" w:rsidRDefault="001073C5" w:rsidP="00E72738">
            <w:pPr>
              <w:pStyle w:val="Textkrper"/>
              <w:jc w:val="left"/>
              <w:rPr>
                <w:rFonts w:cstheme="minorHAnsi"/>
                <w:lang w:val="en-US"/>
              </w:rPr>
            </w:pPr>
          </w:p>
        </w:tc>
      </w:tr>
      <w:tr w:rsidR="001073C5" w:rsidRPr="002E4D67" w14:paraId="22B6B744" w14:textId="77777777" w:rsidTr="00D64090">
        <w:tc>
          <w:tcPr>
            <w:tcW w:w="1985" w:type="dxa"/>
          </w:tcPr>
          <w:p w14:paraId="29CCB1C0" w14:textId="6AC540F9" w:rsidR="001073C5" w:rsidRPr="002E4D67" w:rsidRDefault="001073C5" w:rsidP="001073C5">
            <w:pPr>
              <w:pStyle w:val="berschrift1"/>
              <w:keepNext w:val="0"/>
              <w:keepLines w:val="0"/>
              <w:rPr>
                <w:lang w:val="en-US"/>
              </w:rPr>
            </w:pPr>
            <w:bookmarkStart w:id="630" w:name="_Toc212018086"/>
            <w:bookmarkStart w:id="631" w:name="_Toc213164270"/>
            <w:bookmarkStart w:id="632" w:name="_Toc213179254"/>
            <w:r w:rsidRPr="002E4D67">
              <w:rPr>
                <w:lang w:val="en-US"/>
              </w:rPr>
              <w:lastRenderedPageBreak/>
              <w:t>S.11 Energy intensity</w:t>
            </w:r>
            <w:bookmarkEnd w:id="630"/>
            <w:bookmarkEnd w:id="631"/>
            <w:bookmarkEnd w:id="632"/>
          </w:p>
        </w:tc>
        <w:tc>
          <w:tcPr>
            <w:tcW w:w="6371" w:type="dxa"/>
          </w:tcPr>
          <w:p w14:paraId="65CCFC86" w14:textId="77777777" w:rsidR="00E72738" w:rsidRDefault="00E72738" w:rsidP="00E72738">
            <w:pPr>
              <w:pStyle w:val="StandardWeb"/>
            </w:pPr>
            <w:r>
              <w:t xml:space="preserve">As no minting or on-chain activity has started, the </w:t>
            </w:r>
            <w:r>
              <w:rPr>
                <w:rStyle w:val="Fett"/>
              </w:rPr>
              <w:t>energy intensity of the $WYND Utility Token is currently zero</w:t>
            </w:r>
            <w:r>
              <w:t>.</w:t>
            </w:r>
          </w:p>
          <w:p w14:paraId="2CCBD4FD" w14:textId="60CACE53" w:rsidR="001073C5" w:rsidRPr="00E72738" w:rsidRDefault="00E72738" w:rsidP="00E72738">
            <w:pPr>
              <w:pStyle w:val="StandardWeb"/>
            </w:pPr>
            <w:r>
              <w:t>Once the token is operational, energy intensity will be calculated as required by Regulation (EU) 2025/422:</w:t>
            </w:r>
          </w:p>
        </w:tc>
      </w:tr>
      <w:tr w:rsidR="001073C5" w:rsidRPr="002E4D67" w14:paraId="27B28D45" w14:textId="77777777" w:rsidTr="00D64090">
        <w:tc>
          <w:tcPr>
            <w:tcW w:w="1985" w:type="dxa"/>
          </w:tcPr>
          <w:p w14:paraId="0C8D22AE" w14:textId="7EEE89F2" w:rsidR="001073C5" w:rsidRPr="002E4D67" w:rsidRDefault="001073C5" w:rsidP="001073C5">
            <w:pPr>
              <w:pStyle w:val="berschrift1"/>
              <w:keepNext w:val="0"/>
              <w:keepLines w:val="0"/>
              <w:rPr>
                <w:lang w:val="en-US"/>
              </w:rPr>
            </w:pPr>
            <w:bookmarkStart w:id="633" w:name="_Toc212018088"/>
            <w:bookmarkStart w:id="634" w:name="_Toc213164271"/>
            <w:bookmarkStart w:id="635" w:name="_Toc213179255"/>
            <w:r w:rsidRPr="002E4D67">
              <w:rPr>
                <w:lang w:val="en-US"/>
              </w:rPr>
              <w:t>S.12 Scope 1 DLT GHG emissions – controlled</w:t>
            </w:r>
            <w:bookmarkEnd w:id="633"/>
            <w:bookmarkEnd w:id="634"/>
            <w:bookmarkEnd w:id="635"/>
          </w:p>
        </w:tc>
        <w:tc>
          <w:tcPr>
            <w:tcW w:w="6371" w:type="dxa"/>
          </w:tcPr>
          <w:p w14:paraId="67EE6264" w14:textId="77777777" w:rsidR="00E72738" w:rsidRDefault="00E72738" w:rsidP="00E72738">
            <w:pPr>
              <w:pStyle w:val="StandardWeb"/>
            </w:pPr>
            <w:r>
              <w:t xml:space="preserve">$WYND Utility Token has </w:t>
            </w:r>
            <w:r>
              <w:rPr>
                <w:rStyle w:val="Fett"/>
              </w:rPr>
              <w:t>no Scope-1 GHG emissions</w:t>
            </w:r>
            <w:r>
              <w:t>, because:</w:t>
            </w:r>
          </w:p>
          <w:p w14:paraId="3F4174D0" w14:textId="77777777" w:rsidR="00E72738" w:rsidRDefault="00E72738" w:rsidP="00E72738">
            <w:pPr>
              <w:pStyle w:val="StandardWeb"/>
              <w:numPr>
                <w:ilvl w:val="0"/>
                <w:numId w:val="95"/>
              </w:numPr>
              <w:overflowPunct/>
              <w:autoSpaceDE/>
              <w:autoSpaceDN/>
              <w:adjustRightInd/>
              <w:spacing w:before="100" w:beforeAutospacing="1" w:after="100" w:afterAutospacing="1" w:line="240" w:lineRule="auto"/>
              <w:jc w:val="left"/>
              <w:textAlignment w:val="auto"/>
            </w:pPr>
            <w:r>
              <w:t>WYND Capital GmbH does not operate its own blockchain nodes or validators,</w:t>
            </w:r>
          </w:p>
          <w:p w14:paraId="4D2B2B46" w14:textId="77777777" w:rsidR="00E72738" w:rsidRDefault="00E72738" w:rsidP="00E72738">
            <w:pPr>
              <w:pStyle w:val="StandardWeb"/>
              <w:numPr>
                <w:ilvl w:val="0"/>
                <w:numId w:val="95"/>
              </w:numPr>
              <w:overflowPunct/>
              <w:autoSpaceDE/>
              <w:autoSpaceDN/>
              <w:adjustRightInd/>
              <w:spacing w:before="100" w:beforeAutospacing="1" w:after="100" w:afterAutospacing="1" w:line="240" w:lineRule="auto"/>
              <w:jc w:val="left"/>
              <w:textAlignment w:val="auto"/>
            </w:pPr>
            <w:r>
              <w:t>the token itself generates no emissions until minting and use begin.</w:t>
            </w:r>
          </w:p>
          <w:p w14:paraId="1D7835BE" w14:textId="1877194B" w:rsidR="001073C5" w:rsidRPr="00E72738" w:rsidRDefault="00E72738" w:rsidP="00E72738">
            <w:pPr>
              <w:pStyle w:val="StandardWeb"/>
            </w:pPr>
            <w:r>
              <w:t xml:space="preserve">After launch, Scope-1 emissions will remain </w:t>
            </w:r>
            <w:r>
              <w:rPr>
                <w:rStyle w:val="Fett"/>
              </w:rPr>
              <w:t>zero</w:t>
            </w:r>
            <w:r>
              <w:t>, as WYND Capital GmbH will not run blockchain infrastructure directly.</w:t>
            </w:r>
          </w:p>
        </w:tc>
      </w:tr>
      <w:tr w:rsidR="001073C5" w:rsidRPr="002E4D67" w14:paraId="3D72E8A7" w14:textId="77777777" w:rsidTr="00D64090">
        <w:tc>
          <w:tcPr>
            <w:tcW w:w="1985" w:type="dxa"/>
          </w:tcPr>
          <w:p w14:paraId="12E36805" w14:textId="728DEB65" w:rsidR="001073C5" w:rsidRPr="002E4D67" w:rsidRDefault="001073C5" w:rsidP="001073C5">
            <w:pPr>
              <w:pStyle w:val="berschrift1"/>
              <w:keepNext w:val="0"/>
              <w:keepLines w:val="0"/>
              <w:rPr>
                <w:lang w:val="en-US"/>
              </w:rPr>
            </w:pPr>
            <w:bookmarkStart w:id="636" w:name="_Toc212018090"/>
            <w:bookmarkStart w:id="637" w:name="_Toc213164272"/>
            <w:bookmarkStart w:id="638" w:name="_Toc213179256"/>
            <w:r w:rsidRPr="002E4D67">
              <w:rPr>
                <w:lang w:val="en-US"/>
              </w:rPr>
              <w:t>S.13 Scope 2 DLT GHG emissions – purchased</w:t>
            </w:r>
            <w:bookmarkEnd w:id="636"/>
            <w:bookmarkEnd w:id="637"/>
            <w:bookmarkEnd w:id="638"/>
          </w:p>
        </w:tc>
        <w:tc>
          <w:tcPr>
            <w:tcW w:w="6371" w:type="dxa"/>
          </w:tcPr>
          <w:p w14:paraId="22C117A3" w14:textId="77777777" w:rsidR="00E72738" w:rsidRDefault="00E72738" w:rsidP="00E72738">
            <w:pPr>
              <w:pStyle w:val="StandardWeb"/>
            </w:pPr>
            <w:r>
              <w:t xml:space="preserve">Because the token has not yet been minted, </w:t>
            </w:r>
            <w:r>
              <w:rPr>
                <w:rStyle w:val="Fett"/>
              </w:rPr>
              <w:t>no Scope-2 emissions (purchased electricity for node operation)</w:t>
            </w:r>
            <w:r>
              <w:t xml:space="preserve"> have been generated.</w:t>
            </w:r>
          </w:p>
          <w:p w14:paraId="64B48B46" w14:textId="77777777" w:rsidR="00E72738" w:rsidRDefault="00E72738" w:rsidP="00E72738">
            <w:pPr>
              <w:pStyle w:val="StandardWeb"/>
            </w:pPr>
            <w:r>
              <w:t>WYND Capital GmbH does not purchase electricity to operate blockchain systems; all energy usage associated with transactions will occur at validator-level on Ethereum PoS or the chosen Layer-2 network.</w:t>
            </w:r>
          </w:p>
          <w:p w14:paraId="391A3513" w14:textId="79EEA887" w:rsidR="001073C5" w:rsidRPr="00E72738" w:rsidRDefault="00E72738" w:rsidP="00E72738">
            <w:pPr>
              <w:pStyle w:val="StandardWeb"/>
            </w:pPr>
            <w:r>
              <w:t>After launch, Scope-2 emissions attributable to $WYND will be derived from validator-level LCA data and allocated proportionally to token transactions.</w:t>
            </w:r>
          </w:p>
        </w:tc>
      </w:tr>
      <w:tr w:rsidR="001073C5" w:rsidRPr="002E4D67" w14:paraId="5D051C13" w14:textId="77777777" w:rsidTr="00D64090">
        <w:tc>
          <w:tcPr>
            <w:tcW w:w="1985" w:type="dxa"/>
          </w:tcPr>
          <w:p w14:paraId="4315FB3C" w14:textId="3DE26F78" w:rsidR="001073C5" w:rsidRPr="002E4D67" w:rsidRDefault="001073C5" w:rsidP="001073C5">
            <w:pPr>
              <w:pStyle w:val="berschrift1"/>
              <w:keepNext w:val="0"/>
              <w:keepLines w:val="0"/>
              <w:rPr>
                <w:lang w:val="en-US"/>
              </w:rPr>
            </w:pPr>
            <w:bookmarkStart w:id="639" w:name="_Toc212018092"/>
            <w:bookmarkStart w:id="640" w:name="_Toc213164273"/>
            <w:bookmarkStart w:id="641" w:name="_Toc213179257"/>
            <w:r w:rsidRPr="002E4D67">
              <w:rPr>
                <w:lang w:val="en-US"/>
              </w:rPr>
              <w:t>S.14 GHG Intensity</w:t>
            </w:r>
            <w:bookmarkEnd w:id="639"/>
            <w:bookmarkEnd w:id="640"/>
            <w:bookmarkEnd w:id="641"/>
          </w:p>
        </w:tc>
        <w:tc>
          <w:tcPr>
            <w:tcW w:w="6371" w:type="dxa"/>
          </w:tcPr>
          <w:p w14:paraId="164EEA1D" w14:textId="77777777" w:rsidR="00E72738" w:rsidRDefault="00E72738" w:rsidP="00E72738">
            <w:pPr>
              <w:pStyle w:val="StandardWeb"/>
            </w:pPr>
            <w:r>
              <w:t xml:space="preserve">As no energy consumption or emissions have been generated, the </w:t>
            </w:r>
            <w:r>
              <w:rPr>
                <w:rStyle w:val="Fett"/>
              </w:rPr>
              <w:t>GHG intensity of the $WYND Utility Token is currently zero</w:t>
            </w:r>
            <w:r>
              <w:t>.</w:t>
            </w:r>
          </w:p>
          <w:p w14:paraId="3D541061" w14:textId="7E5A6F11" w:rsidR="001073C5" w:rsidRPr="00E72738" w:rsidRDefault="00E72738" w:rsidP="00E72738">
            <w:pPr>
              <w:pStyle w:val="StandardWeb"/>
            </w:pPr>
            <w:r>
              <w:t>After launch, GHG intensity will be calculated using the formula required by Regulation (EU) 2025/422:</w:t>
            </w:r>
          </w:p>
        </w:tc>
      </w:tr>
      <w:tr w:rsidR="001073C5" w:rsidRPr="002E4D67" w14:paraId="26CDA1A7" w14:textId="77777777" w:rsidTr="00C11C31">
        <w:tc>
          <w:tcPr>
            <w:tcW w:w="8356" w:type="dxa"/>
            <w:gridSpan w:val="2"/>
          </w:tcPr>
          <w:p w14:paraId="6B57EA8A" w14:textId="12C310EB" w:rsidR="001073C5" w:rsidRPr="002E4D67" w:rsidRDefault="001073C5" w:rsidP="001073C5">
            <w:pPr>
              <w:pStyle w:val="Textkrper"/>
              <w:rPr>
                <w:rFonts w:cstheme="minorHAnsi"/>
                <w:lang w:val="en-US"/>
              </w:rPr>
            </w:pPr>
            <w:r w:rsidRPr="002E4D67">
              <w:rPr>
                <w:rFonts w:cstheme="minorHAnsi"/>
                <w:lang w:val="en-US"/>
              </w:rPr>
              <w:t>Sources and methodologies</w:t>
            </w:r>
          </w:p>
        </w:tc>
      </w:tr>
      <w:tr w:rsidR="001073C5" w:rsidRPr="002E4D67" w14:paraId="00266B90" w14:textId="77777777" w:rsidTr="00D64090">
        <w:tc>
          <w:tcPr>
            <w:tcW w:w="1985" w:type="dxa"/>
          </w:tcPr>
          <w:p w14:paraId="02BDC7D3" w14:textId="0E083FDD" w:rsidR="001073C5" w:rsidRPr="002E4D67" w:rsidRDefault="001073C5" w:rsidP="001073C5">
            <w:pPr>
              <w:pStyle w:val="berschrift1"/>
              <w:keepNext w:val="0"/>
              <w:keepLines w:val="0"/>
              <w:rPr>
                <w:lang w:val="en-US"/>
              </w:rPr>
            </w:pPr>
            <w:bookmarkStart w:id="642" w:name="_Toc212018095"/>
            <w:bookmarkStart w:id="643" w:name="_Toc213164274"/>
            <w:bookmarkStart w:id="644" w:name="_Toc213179258"/>
            <w:r w:rsidRPr="002E4D67">
              <w:rPr>
                <w:lang w:val="en-US"/>
              </w:rPr>
              <w:t>S.15 Key energy sources and methodologies</w:t>
            </w:r>
            <w:bookmarkEnd w:id="642"/>
            <w:bookmarkEnd w:id="643"/>
            <w:bookmarkEnd w:id="644"/>
          </w:p>
        </w:tc>
        <w:tc>
          <w:tcPr>
            <w:tcW w:w="6371" w:type="dxa"/>
          </w:tcPr>
          <w:p w14:paraId="5C10AFF3" w14:textId="77777777" w:rsidR="00457AF5" w:rsidRDefault="00457AF5" w:rsidP="00457AF5">
            <w:pPr>
              <w:pStyle w:val="StandardWeb"/>
            </w:pPr>
            <w:r>
              <w:t xml:space="preserve">Because the $WYND Utility Token has not yet been minted and no blockchain transactions have occurred, </w:t>
            </w:r>
            <w:r>
              <w:rPr>
                <w:rStyle w:val="Fett"/>
              </w:rPr>
              <w:t>no energy sources have been used to date</w:t>
            </w:r>
            <w:r>
              <w:t>, and therefore no token-specific energy source distribution exists.</w:t>
            </w:r>
          </w:p>
          <w:p w14:paraId="073AF4A4" w14:textId="77777777" w:rsidR="00457AF5" w:rsidRDefault="00457AF5" w:rsidP="00457AF5">
            <w:pPr>
              <w:pStyle w:val="StandardWeb"/>
            </w:pPr>
            <w:r>
              <w:t>After the token launch, WYND Capital GmbH will determine the relevant energy sources using the following methodology:</w:t>
            </w:r>
          </w:p>
          <w:p w14:paraId="7BC7F89D" w14:textId="77777777" w:rsidR="00457AF5" w:rsidRDefault="00457AF5" w:rsidP="00457AF5">
            <w:pPr>
              <w:pStyle w:val="StandardWeb"/>
              <w:numPr>
                <w:ilvl w:val="0"/>
                <w:numId w:val="96"/>
              </w:numPr>
              <w:overflowPunct/>
              <w:autoSpaceDE/>
              <w:autoSpaceDN/>
              <w:adjustRightInd/>
              <w:spacing w:before="100" w:beforeAutospacing="1" w:after="100" w:afterAutospacing="1" w:line="240" w:lineRule="auto"/>
              <w:jc w:val="left"/>
              <w:textAlignment w:val="auto"/>
            </w:pPr>
            <w:r>
              <w:rPr>
                <w:rStyle w:val="Fett"/>
              </w:rPr>
              <w:t>Use of Publicly Available Chain-Level Data</w:t>
            </w:r>
            <w:r>
              <w:br/>
              <w:t xml:space="preserve">Energy sources (renewable vs. non-renewable) will be derived from sustainability and energy reports published for the </w:t>
            </w:r>
            <w:r>
              <w:lastRenderedPageBreak/>
              <w:t>underlying blockchain (Ethereum Proof-of-Stake or designated Layer-2 network), including:</w:t>
            </w:r>
          </w:p>
          <w:p w14:paraId="4199925A" w14:textId="77777777" w:rsidR="00457AF5" w:rsidRDefault="00457AF5" w:rsidP="00457AF5">
            <w:pPr>
              <w:pStyle w:val="StandardWeb"/>
              <w:numPr>
                <w:ilvl w:val="1"/>
                <w:numId w:val="96"/>
              </w:numPr>
              <w:overflowPunct/>
              <w:autoSpaceDE/>
              <w:autoSpaceDN/>
              <w:adjustRightInd/>
              <w:spacing w:before="100" w:beforeAutospacing="1" w:after="100" w:afterAutospacing="1" w:line="240" w:lineRule="auto"/>
              <w:jc w:val="left"/>
              <w:textAlignment w:val="auto"/>
            </w:pPr>
            <w:r>
              <w:t>validator/node operator energy mix,</w:t>
            </w:r>
          </w:p>
          <w:p w14:paraId="3B904F27" w14:textId="77777777" w:rsidR="00457AF5" w:rsidRDefault="00457AF5" w:rsidP="00457AF5">
            <w:pPr>
              <w:pStyle w:val="StandardWeb"/>
              <w:numPr>
                <w:ilvl w:val="1"/>
                <w:numId w:val="96"/>
              </w:numPr>
              <w:overflowPunct/>
              <w:autoSpaceDE/>
              <w:autoSpaceDN/>
              <w:adjustRightInd/>
              <w:spacing w:before="100" w:beforeAutospacing="1" w:after="100" w:afterAutospacing="1" w:line="240" w:lineRule="auto"/>
              <w:jc w:val="left"/>
              <w:textAlignment w:val="auto"/>
            </w:pPr>
            <w:r>
              <w:t>renewable energy usage rates,</w:t>
            </w:r>
          </w:p>
          <w:p w14:paraId="2A395772" w14:textId="77777777" w:rsidR="00457AF5" w:rsidRDefault="00457AF5" w:rsidP="00457AF5">
            <w:pPr>
              <w:pStyle w:val="StandardWeb"/>
              <w:numPr>
                <w:ilvl w:val="1"/>
                <w:numId w:val="96"/>
              </w:numPr>
              <w:overflowPunct/>
              <w:autoSpaceDE/>
              <w:autoSpaceDN/>
              <w:adjustRightInd/>
              <w:spacing w:before="100" w:beforeAutospacing="1" w:after="100" w:afterAutospacing="1" w:line="240" w:lineRule="auto"/>
              <w:jc w:val="left"/>
              <w:textAlignment w:val="auto"/>
            </w:pPr>
            <w:r>
              <w:t>LCA (Life-Cycle Assessment) models from recognised research institutions (e.g., CCRI, Ethereum Foundation sustainability analyses).</w:t>
            </w:r>
          </w:p>
          <w:p w14:paraId="74DC86CE" w14:textId="77777777" w:rsidR="00457AF5" w:rsidRDefault="00457AF5" w:rsidP="00457AF5">
            <w:pPr>
              <w:pStyle w:val="StandardWeb"/>
              <w:numPr>
                <w:ilvl w:val="0"/>
                <w:numId w:val="96"/>
              </w:numPr>
              <w:overflowPunct/>
              <w:autoSpaceDE/>
              <w:autoSpaceDN/>
              <w:adjustRightInd/>
              <w:spacing w:before="100" w:beforeAutospacing="1" w:after="100" w:afterAutospacing="1" w:line="240" w:lineRule="auto"/>
              <w:jc w:val="left"/>
              <w:textAlignment w:val="auto"/>
            </w:pPr>
            <w:r>
              <w:rPr>
                <w:rStyle w:val="Fett"/>
              </w:rPr>
              <w:t>Allocation Model</w:t>
            </w:r>
            <w:r>
              <w:br/>
              <w:t>Key energy sources will be attributed proportionally to $WYND token-related transactions using the methodology allowed under Regulation (EU) 2025/422:</w:t>
            </w:r>
          </w:p>
          <w:p w14:paraId="4B2C773C" w14:textId="77777777" w:rsidR="00457AF5" w:rsidRDefault="00457AF5" w:rsidP="00457AF5">
            <w:pPr>
              <w:pStyle w:val="StandardWeb"/>
              <w:numPr>
                <w:ilvl w:val="1"/>
                <w:numId w:val="96"/>
              </w:numPr>
              <w:overflowPunct/>
              <w:autoSpaceDE/>
              <w:autoSpaceDN/>
              <w:adjustRightInd/>
              <w:spacing w:before="100" w:beforeAutospacing="1" w:after="100" w:afterAutospacing="1" w:line="240" w:lineRule="auto"/>
              <w:jc w:val="left"/>
              <w:textAlignment w:val="auto"/>
            </w:pPr>
            <w:r>
              <w:t>chain-wide energy mix → proportionally allocated based on the number of transactions associated with $WYND token usage.</w:t>
            </w:r>
          </w:p>
          <w:p w14:paraId="03E70FF1" w14:textId="77777777" w:rsidR="00457AF5" w:rsidRDefault="00457AF5" w:rsidP="00457AF5">
            <w:pPr>
              <w:pStyle w:val="StandardWeb"/>
              <w:numPr>
                <w:ilvl w:val="0"/>
                <w:numId w:val="96"/>
              </w:numPr>
              <w:overflowPunct/>
              <w:autoSpaceDE/>
              <w:autoSpaceDN/>
              <w:adjustRightInd/>
              <w:spacing w:before="100" w:beforeAutospacing="1" w:after="100" w:afterAutospacing="1" w:line="240" w:lineRule="auto"/>
              <w:jc w:val="left"/>
              <w:textAlignment w:val="auto"/>
            </w:pPr>
            <w:r>
              <w:rPr>
                <w:rStyle w:val="Fett"/>
              </w:rPr>
              <w:t>Annual Disclosure</w:t>
            </w:r>
            <w:r>
              <w:br/>
              <w:t>WYND Capital GmbH will disclose the energy source breakdown each year after measurable token activity begins.</w:t>
            </w:r>
          </w:p>
          <w:p w14:paraId="525B4D8B" w14:textId="77777777" w:rsidR="00457AF5" w:rsidRDefault="00457AF5" w:rsidP="00457AF5">
            <w:pPr>
              <w:pStyle w:val="StandardWeb"/>
            </w:pPr>
            <w:r>
              <w:t xml:space="preserve">Until minting and network usage start, no quantitative or qualitative energy source values can be reported, as energy consumption is currently </w:t>
            </w:r>
            <w:r>
              <w:rPr>
                <w:rStyle w:val="Fett"/>
              </w:rPr>
              <w:t>zero</w:t>
            </w:r>
            <w:r>
              <w:t>.</w:t>
            </w:r>
          </w:p>
          <w:p w14:paraId="2B192ED5" w14:textId="6C1BB827" w:rsidR="00457AF5" w:rsidRPr="002E4D67" w:rsidRDefault="00457AF5" w:rsidP="001073C5">
            <w:pPr>
              <w:pStyle w:val="Textkrper"/>
              <w:rPr>
                <w:rFonts w:cstheme="minorHAnsi"/>
                <w:lang w:val="en-US"/>
              </w:rPr>
            </w:pPr>
          </w:p>
        </w:tc>
      </w:tr>
      <w:tr w:rsidR="001073C5" w:rsidRPr="002E4D67" w14:paraId="01F3EAEC" w14:textId="77777777" w:rsidTr="009253A5">
        <w:trPr>
          <w:trHeight w:val="6228"/>
        </w:trPr>
        <w:tc>
          <w:tcPr>
            <w:tcW w:w="1985" w:type="dxa"/>
          </w:tcPr>
          <w:p w14:paraId="5C4F30B2" w14:textId="5FBEA4DD" w:rsidR="001073C5" w:rsidRPr="002E4D67" w:rsidRDefault="001073C5" w:rsidP="001073C5">
            <w:pPr>
              <w:pStyle w:val="berschrift1"/>
              <w:keepNext w:val="0"/>
              <w:keepLines w:val="0"/>
              <w:rPr>
                <w:lang w:val="en-US"/>
              </w:rPr>
            </w:pPr>
            <w:bookmarkStart w:id="645" w:name="_Toc212018097"/>
            <w:bookmarkStart w:id="646" w:name="_Toc213164275"/>
            <w:bookmarkStart w:id="647" w:name="_Toc213179259"/>
            <w:r w:rsidRPr="002E4D67">
              <w:rPr>
                <w:lang w:val="en-US"/>
              </w:rPr>
              <w:lastRenderedPageBreak/>
              <w:t>S.16 Key GHG sources and methodologies</w:t>
            </w:r>
            <w:bookmarkEnd w:id="645"/>
            <w:bookmarkEnd w:id="646"/>
            <w:bookmarkEnd w:id="647"/>
          </w:p>
        </w:tc>
        <w:tc>
          <w:tcPr>
            <w:tcW w:w="6371" w:type="dxa"/>
          </w:tcPr>
          <w:p w14:paraId="2067402B" w14:textId="2F68B1BF" w:rsidR="00457AF5" w:rsidRPr="00457AF5" w:rsidRDefault="00457AF5" w:rsidP="00457AF5">
            <w:pPr>
              <w:pStyle w:val="Textkrper"/>
              <w:rPr>
                <w:rFonts w:cstheme="minorHAnsi"/>
                <w:lang w:val="en-US"/>
              </w:rPr>
            </w:pPr>
            <w:r>
              <w:t xml:space="preserve">Because the $WYND Utility Token has not yet been minted and no on-chain transactions have taken place, </w:t>
            </w:r>
            <w:r>
              <w:rPr>
                <w:rStyle w:val="Fett"/>
              </w:rPr>
              <w:t>no greenhouse gas (GHG) emissions have occurred</w:t>
            </w:r>
            <w:r>
              <w:t xml:space="preserve"> and therefore </w:t>
            </w:r>
            <w:r>
              <w:rPr>
                <w:rStyle w:val="Fett"/>
              </w:rPr>
              <w:t>no token-specific GHG sources currently exist</w:t>
            </w:r>
            <w:r>
              <w:t>.</w:t>
            </w:r>
          </w:p>
          <w:p w14:paraId="34157E20" w14:textId="77777777" w:rsidR="00457AF5" w:rsidRDefault="00457AF5" w:rsidP="00457AF5">
            <w:pPr>
              <w:pStyle w:val="StandardWeb"/>
            </w:pPr>
            <w:r>
              <w:t>Once minting and measurable on-chain activity begin, GHG emissions attributable to the $WYND Token will be calculated using the following methodology:</w:t>
            </w:r>
          </w:p>
          <w:p w14:paraId="3794568F" w14:textId="77777777" w:rsidR="00457AF5" w:rsidRDefault="00457AF5" w:rsidP="00457AF5">
            <w:pPr>
              <w:pStyle w:val="StandardWeb"/>
              <w:numPr>
                <w:ilvl w:val="0"/>
                <w:numId w:val="97"/>
              </w:numPr>
              <w:overflowPunct/>
              <w:autoSpaceDE/>
              <w:autoSpaceDN/>
              <w:adjustRightInd/>
              <w:spacing w:before="100" w:beforeAutospacing="1" w:after="100" w:afterAutospacing="1" w:line="240" w:lineRule="auto"/>
              <w:jc w:val="left"/>
              <w:textAlignment w:val="auto"/>
            </w:pPr>
            <w:r>
              <w:rPr>
                <w:rStyle w:val="Fett"/>
              </w:rPr>
              <w:t>GHG Source Identification</w:t>
            </w:r>
          </w:p>
          <w:p w14:paraId="50C989FC" w14:textId="77777777" w:rsidR="00457AF5" w:rsidRDefault="00457AF5" w:rsidP="00457AF5">
            <w:pPr>
              <w:pStyle w:val="StandardWeb"/>
              <w:numPr>
                <w:ilvl w:val="1"/>
                <w:numId w:val="97"/>
              </w:numPr>
              <w:overflowPunct/>
              <w:autoSpaceDE/>
              <w:autoSpaceDN/>
              <w:adjustRightInd/>
              <w:spacing w:before="100" w:beforeAutospacing="1" w:after="100" w:afterAutospacing="1" w:line="240" w:lineRule="auto"/>
              <w:jc w:val="left"/>
              <w:textAlignment w:val="auto"/>
            </w:pPr>
            <w:r>
              <w:rPr>
                <w:rStyle w:val="Fett"/>
              </w:rPr>
              <w:t>Scope 1:</w:t>
            </w:r>
            <w:r>
              <w:t xml:space="preserve"> Expected to remain </w:t>
            </w:r>
            <w:r>
              <w:rPr>
                <w:rStyle w:val="Hervorhebung"/>
              </w:rPr>
              <w:t>zero</w:t>
            </w:r>
            <w:r>
              <w:t>, as WYND Capital GmbH does not operate blockchain hardware or mining infrastructure.</w:t>
            </w:r>
          </w:p>
          <w:p w14:paraId="5EBF60D0" w14:textId="77777777" w:rsidR="00457AF5" w:rsidRDefault="00457AF5" w:rsidP="00457AF5">
            <w:pPr>
              <w:pStyle w:val="StandardWeb"/>
              <w:numPr>
                <w:ilvl w:val="1"/>
                <w:numId w:val="97"/>
              </w:numPr>
              <w:overflowPunct/>
              <w:autoSpaceDE/>
              <w:autoSpaceDN/>
              <w:adjustRightInd/>
              <w:spacing w:before="100" w:beforeAutospacing="1" w:after="100" w:afterAutospacing="1" w:line="240" w:lineRule="auto"/>
              <w:jc w:val="left"/>
              <w:textAlignment w:val="auto"/>
            </w:pPr>
            <w:r>
              <w:rPr>
                <w:rStyle w:val="Fett"/>
              </w:rPr>
              <w:t>Scope 2:</w:t>
            </w:r>
            <w:r>
              <w:t xml:space="preserve"> Indirect emissions arising from electricity consumption of validator nodes on the underlying blockchain (Ethereum Proof-of-Stake or designated Layer-2).</w:t>
            </w:r>
          </w:p>
          <w:p w14:paraId="6EF1E45A" w14:textId="77777777" w:rsidR="00457AF5" w:rsidRDefault="00457AF5" w:rsidP="00457AF5">
            <w:pPr>
              <w:pStyle w:val="StandardWeb"/>
              <w:numPr>
                <w:ilvl w:val="0"/>
                <w:numId w:val="97"/>
              </w:numPr>
              <w:overflowPunct/>
              <w:autoSpaceDE/>
              <w:autoSpaceDN/>
              <w:adjustRightInd/>
              <w:spacing w:before="100" w:beforeAutospacing="1" w:after="100" w:afterAutospacing="1" w:line="240" w:lineRule="auto"/>
              <w:jc w:val="left"/>
              <w:textAlignment w:val="auto"/>
            </w:pPr>
            <w:r>
              <w:rPr>
                <w:rStyle w:val="Fett"/>
              </w:rPr>
              <w:t>Chain-Level Emission Data</w:t>
            </w:r>
            <w:r>
              <w:br/>
              <w:t>GHG data will be sourced from publicly available, independently verified sustainability reports, including:</w:t>
            </w:r>
          </w:p>
          <w:p w14:paraId="50D233E6" w14:textId="77777777" w:rsidR="00457AF5" w:rsidRDefault="00457AF5" w:rsidP="00457AF5">
            <w:pPr>
              <w:pStyle w:val="StandardWeb"/>
              <w:numPr>
                <w:ilvl w:val="1"/>
                <w:numId w:val="97"/>
              </w:numPr>
              <w:overflowPunct/>
              <w:autoSpaceDE/>
              <w:autoSpaceDN/>
              <w:adjustRightInd/>
              <w:spacing w:before="100" w:beforeAutospacing="1" w:after="100" w:afterAutospacing="1" w:line="240" w:lineRule="auto"/>
              <w:jc w:val="left"/>
              <w:textAlignment w:val="auto"/>
            </w:pPr>
            <w:r>
              <w:lastRenderedPageBreak/>
              <w:t>Life-Cycle Assessments (LCA),</w:t>
            </w:r>
          </w:p>
          <w:p w14:paraId="2B1DEB47" w14:textId="77777777" w:rsidR="00457AF5" w:rsidRDefault="00457AF5" w:rsidP="00457AF5">
            <w:pPr>
              <w:pStyle w:val="StandardWeb"/>
              <w:numPr>
                <w:ilvl w:val="1"/>
                <w:numId w:val="97"/>
              </w:numPr>
              <w:overflowPunct/>
              <w:autoSpaceDE/>
              <w:autoSpaceDN/>
              <w:adjustRightInd/>
              <w:spacing w:before="100" w:beforeAutospacing="1" w:after="100" w:afterAutospacing="1" w:line="240" w:lineRule="auto"/>
              <w:jc w:val="left"/>
              <w:textAlignment w:val="auto"/>
            </w:pPr>
            <w:r>
              <w:t>validator/node electricity mix data,</w:t>
            </w:r>
          </w:p>
          <w:p w14:paraId="35D7CBC6" w14:textId="77777777" w:rsidR="00457AF5" w:rsidRDefault="00457AF5" w:rsidP="00457AF5">
            <w:pPr>
              <w:pStyle w:val="StandardWeb"/>
              <w:numPr>
                <w:ilvl w:val="1"/>
                <w:numId w:val="97"/>
              </w:numPr>
              <w:overflowPunct/>
              <w:autoSpaceDE/>
              <w:autoSpaceDN/>
              <w:adjustRightInd/>
              <w:spacing w:before="100" w:beforeAutospacing="1" w:after="100" w:afterAutospacing="1" w:line="240" w:lineRule="auto"/>
              <w:jc w:val="left"/>
              <w:textAlignment w:val="auto"/>
            </w:pPr>
            <w:r>
              <w:t>GHG emission factors published by recognised institutions (e.g., CCRI, IEA, EEA, Ethereum Foundation).</w:t>
            </w:r>
          </w:p>
          <w:p w14:paraId="32B1419F" w14:textId="77777777" w:rsidR="00457AF5" w:rsidRDefault="00457AF5" w:rsidP="00457AF5">
            <w:pPr>
              <w:pStyle w:val="StandardWeb"/>
              <w:numPr>
                <w:ilvl w:val="0"/>
                <w:numId w:val="97"/>
              </w:numPr>
              <w:overflowPunct/>
              <w:autoSpaceDE/>
              <w:autoSpaceDN/>
              <w:adjustRightInd/>
              <w:spacing w:before="100" w:beforeAutospacing="1" w:after="100" w:afterAutospacing="1" w:line="240" w:lineRule="auto"/>
              <w:jc w:val="left"/>
              <w:textAlignment w:val="auto"/>
            </w:pPr>
            <w:r>
              <w:rPr>
                <w:rStyle w:val="Fett"/>
              </w:rPr>
              <w:t>Allocation Methodology (per DVO (EU) 2025/422)</w:t>
            </w:r>
            <w:r>
              <w:br/>
              <w:t>Token-related emissions will be calculated proportionally:</w:t>
            </w:r>
          </w:p>
          <w:p w14:paraId="552F50AB" w14:textId="77777777" w:rsidR="00457AF5" w:rsidRDefault="00457AF5" w:rsidP="00457AF5">
            <w:pPr>
              <w:pStyle w:val="StandardWeb"/>
              <w:ind w:left="720"/>
            </w:pPr>
            <w:r>
              <w:rPr>
                <w:rStyle w:val="Fett"/>
              </w:rPr>
              <w:t>chain-wide GHG emissions ÷ total number of chain transactions × number of $WYND-related transactions</w:t>
            </w:r>
          </w:p>
          <w:p w14:paraId="13369D25" w14:textId="77777777" w:rsidR="00457AF5" w:rsidRDefault="00457AF5" w:rsidP="00457AF5">
            <w:pPr>
              <w:pStyle w:val="StandardWeb"/>
              <w:numPr>
                <w:ilvl w:val="0"/>
                <w:numId w:val="97"/>
              </w:numPr>
              <w:overflowPunct/>
              <w:autoSpaceDE/>
              <w:autoSpaceDN/>
              <w:adjustRightInd/>
              <w:spacing w:before="100" w:beforeAutospacing="1" w:after="100" w:afterAutospacing="1" w:line="240" w:lineRule="auto"/>
              <w:jc w:val="left"/>
              <w:textAlignment w:val="auto"/>
            </w:pPr>
            <w:r>
              <w:rPr>
                <w:rStyle w:val="Fett"/>
              </w:rPr>
              <w:t>Methodological Basis</w:t>
            </w:r>
            <w:r>
              <w:br/>
              <w:t>Calculations will be aligned with:</w:t>
            </w:r>
          </w:p>
          <w:p w14:paraId="313752EF" w14:textId="77777777" w:rsidR="00457AF5" w:rsidRDefault="00457AF5" w:rsidP="00457AF5">
            <w:pPr>
              <w:pStyle w:val="StandardWeb"/>
              <w:numPr>
                <w:ilvl w:val="1"/>
                <w:numId w:val="97"/>
              </w:numPr>
              <w:overflowPunct/>
              <w:autoSpaceDE/>
              <w:autoSpaceDN/>
              <w:adjustRightInd/>
              <w:spacing w:before="100" w:beforeAutospacing="1" w:after="100" w:afterAutospacing="1" w:line="240" w:lineRule="auto"/>
              <w:jc w:val="left"/>
              <w:textAlignment w:val="auto"/>
            </w:pPr>
            <w:r>
              <w:t>ISO 14064 (GHG accounting),</w:t>
            </w:r>
          </w:p>
          <w:p w14:paraId="32756108" w14:textId="77777777" w:rsidR="00457AF5" w:rsidRDefault="00457AF5" w:rsidP="00457AF5">
            <w:pPr>
              <w:pStyle w:val="StandardWeb"/>
              <w:numPr>
                <w:ilvl w:val="1"/>
                <w:numId w:val="97"/>
              </w:numPr>
              <w:overflowPunct/>
              <w:autoSpaceDE/>
              <w:autoSpaceDN/>
              <w:adjustRightInd/>
              <w:spacing w:before="100" w:beforeAutospacing="1" w:after="100" w:afterAutospacing="1" w:line="240" w:lineRule="auto"/>
              <w:jc w:val="left"/>
              <w:textAlignment w:val="auto"/>
            </w:pPr>
            <w:r>
              <w:t>methodologies referenced in DVO (EU) 2025/422,</w:t>
            </w:r>
          </w:p>
          <w:p w14:paraId="5C185150" w14:textId="77777777" w:rsidR="00457AF5" w:rsidRDefault="00457AF5" w:rsidP="00457AF5">
            <w:pPr>
              <w:pStyle w:val="StandardWeb"/>
              <w:numPr>
                <w:ilvl w:val="1"/>
                <w:numId w:val="97"/>
              </w:numPr>
              <w:overflowPunct/>
              <w:autoSpaceDE/>
              <w:autoSpaceDN/>
              <w:adjustRightInd/>
              <w:spacing w:before="100" w:beforeAutospacing="1" w:after="100" w:afterAutospacing="1" w:line="240" w:lineRule="auto"/>
              <w:jc w:val="left"/>
              <w:textAlignment w:val="auto"/>
            </w:pPr>
            <w:r>
              <w:t>recognised crypto-sector GHG methodologies (e.g., CCRI).</w:t>
            </w:r>
          </w:p>
          <w:p w14:paraId="1515D75E" w14:textId="5E77B032" w:rsidR="001073C5" w:rsidRPr="00457AF5" w:rsidRDefault="00457AF5" w:rsidP="00457AF5">
            <w:pPr>
              <w:pStyle w:val="StandardWeb"/>
            </w:pPr>
            <w:r>
              <w:t xml:space="preserve">Until on-chain activity begins and measurable data exists, </w:t>
            </w:r>
            <w:r>
              <w:rPr>
                <w:rStyle w:val="Fett"/>
              </w:rPr>
              <w:t>no quantitative GHG values can be reported</w:t>
            </w:r>
            <w:r>
              <w:t xml:space="preserve">, as the token’s emissions are currently </w:t>
            </w:r>
            <w:r>
              <w:rPr>
                <w:rStyle w:val="Fett"/>
              </w:rPr>
              <w:t>zero</w:t>
            </w:r>
            <w:r>
              <w:t>.</w:t>
            </w:r>
          </w:p>
        </w:tc>
      </w:tr>
    </w:tbl>
    <w:p w14:paraId="04F77B25" w14:textId="5DAA4D86" w:rsidR="001835F7" w:rsidRPr="002E4D67" w:rsidRDefault="001835F7" w:rsidP="003D4125">
      <w:pPr>
        <w:pStyle w:val="Textkrper"/>
        <w:rPr>
          <w:rFonts w:cstheme="minorHAnsi"/>
          <w:sz w:val="22"/>
          <w:szCs w:val="22"/>
          <w:lang w:val="en-US"/>
        </w:rPr>
        <w:sectPr w:rsidR="001835F7" w:rsidRPr="002E4D67" w:rsidSect="008E65CC">
          <w:footerReference w:type="default" r:id="rId13"/>
          <w:headerReference w:type="first" r:id="rId14"/>
          <w:footerReference w:type="first" r:id="rId15"/>
          <w:pgSz w:w="11906" w:h="16838" w:code="9"/>
          <w:pgMar w:top="1701" w:right="1418" w:bottom="1701" w:left="1418" w:header="680" w:footer="510" w:gutter="0"/>
          <w:cols w:space="708"/>
          <w:titlePg/>
          <w:docGrid w:linePitch="360"/>
        </w:sectPr>
      </w:pPr>
    </w:p>
    <w:p w14:paraId="14844DC3" w14:textId="722B7705" w:rsidR="00346403" w:rsidRPr="002E4D67" w:rsidRDefault="00346403" w:rsidP="009253A5">
      <w:pPr>
        <w:pStyle w:val="Textkrper"/>
        <w:rPr>
          <w:rFonts w:cstheme="minorHAnsi"/>
          <w:sz w:val="22"/>
          <w:szCs w:val="22"/>
          <w:lang w:val="en-US"/>
        </w:rPr>
      </w:pPr>
    </w:p>
    <w:sectPr w:rsidR="00346403" w:rsidRPr="002E4D67" w:rsidSect="008E65CC">
      <w:headerReference w:type="default" r:id="rId16"/>
      <w:footerReference w:type="default" r:id="rId17"/>
      <w:headerReference w:type="first" r:id="rId18"/>
      <w:footerReference w:type="first" r:id="rId19"/>
      <w:pgSz w:w="11906" w:h="16838" w:code="9"/>
      <w:pgMar w:top="1701" w:right="1418" w:bottom="1701" w:left="1418" w:header="680" w:footer="51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5" w:author="Dennis Monner" w:date="2025-11-25T20:47:00Z" w:initials="DM">
    <w:p w14:paraId="2BCF84E2" w14:textId="77777777" w:rsidR="001073C5" w:rsidRDefault="001073C5" w:rsidP="001073C5">
      <w:pPr>
        <w:jc w:val="left"/>
      </w:pPr>
      <w:r>
        <w:rPr>
          <w:rStyle w:val="Kommentarzeichen"/>
        </w:rPr>
        <w:annotationRef/>
      </w:r>
      <w:r>
        <w:rPr>
          <w:rFonts w:ascii="Arial" w:hAnsi="Arial"/>
        </w:rPr>
        <w:t>Daten von Bitbond ergänzen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CF84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EB214E" w16cex:dateUtc="2025-11-25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CF84E2" w16cid:durableId="1FEB21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0C10" w14:textId="77777777" w:rsidR="00D82AEF" w:rsidRDefault="00D82AEF" w:rsidP="001F3352">
      <w:pPr>
        <w:spacing w:before="0" w:after="0"/>
      </w:pPr>
      <w:r>
        <w:separator/>
      </w:r>
    </w:p>
  </w:endnote>
  <w:endnote w:type="continuationSeparator" w:id="0">
    <w:p w14:paraId="7044E934" w14:textId="77777777" w:rsidR="00D82AEF" w:rsidRDefault="00D82AEF" w:rsidP="001F33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Bold">
    <w:altName w:val="MV Bol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285" w:type="pct"/>
      <w:tblLook w:val="04A0" w:firstRow="1" w:lastRow="0" w:firstColumn="1" w:lastColumn="0" w:noHBand="0" w:noVBand="1"/>
    </w:tblPr>
    <w:tblGrid>
      <w:gridCol w:w="2979"/>
      <w:gridCol w:w="2980"/>
    </w:tblGrid>
    <w:tr w:rsidR="00023824" w:rsidRPr="00332978" w14:paraId="6D9D1447" w14:textId="77777777" w:rsidTr="00023824">
      <w:tc>
        <w:tcPr>
          <w:tcW w:w="2500" w:type="pct"/>
        </w:tcPr>
        <w:p w14:paraId="6426A186" w14:textId="77777777" w:rsidR="00023824" w:rsidRPr="00332978" w:rsidRDefault="00023824" w:rsidP="003E14C1">
          <w:pPr>
            <w:pStyle w:val="BodyTextHeaderFooter"/>
            <w:spacing w:before="0" w:after="0" w:line="240" w:lineRule="auto"/>
          </w:pPr>
        </w:p>
      </w:tc>
      <w:sdt>
        <w:sdtPr>
          <w:alias w:val="Outline Region"/>
          <w:tag w:val="3E004F77B7BB4D5E99E3BEBCDDD6133F"/>
          <w:id w:val="1438561928"/>
        </w:sdtPr>
        <w:sdtContent>
          <w:tc>
            <w:tcPr>
              <w:tcW w:w="2500" w:type="pct"/>
              <w:vAlign w:val="bottom"/>
            </w:tcPr>
            <w:p w14:paraId="390F8226" w14:textId="77777777" w:rsidR="00023824" w:rsidRPr="00332978" w:rsidRDefault="00023824" w:rsidP="003E14C1">
              <w:pPr>
                <w:pStyle w:val="BodyTextHeaderFooter"/>
                <w:spacing w:before="0" w:after="0" w:line="240" w:lineRule="auto"/>
                <w:jc w:val="center"/>
              </w:pPr>
              <w:r>
                <w:fldChar w:fldCharType="begin"/>
              </w:r>
              <w:r>
                <w:instrText xml:space="preserve"> PAGE   \* MERGEFORMAT </w:instrText>
              </w:r>
              <w:r>
                <w:fldChar w:fldCharType="separate"/>
              </w:r>
              <w:r>
                <w:rPr>
                  <w:noProof/>
                </w:rPr>
                <w:t>1</w:t>
              </w:r>
              <w:r>
                <w:rPr>
                  <w:noProof/>
                </w:rPr>
                <w:fldChar w:fldCharType="end"/>
              </w:r>
            </w:p>
          </w:tc>
        </w:sdtContent>
      </w:sdt>
    </w:tr>
  </w:tbl>
  <w:p w14:paraId="3E1FDA6F" w14:textId="77777777" w:rsidR="00C010BF" w:rsidRPr="009C524C" w:rsidRDefault="00C010BF" w:rsidP="003E14C1">
    <w:pPr>
      <w:pStyle w:val="BodyTextHeaderFooter"/>
      <w:spacing w:before="0" w:after="0" w:line="240"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38" w:type="pct"/>
      <w:tblLook w:val="04A0" w:firstRow="1" w:lastRow="0" w:firstColumn="1" w:lastColumn="0" w:noHBand="0" w:noVBand="1"/>
    </w:tblPr>
    <w:tblGrid>
      <w:gridCol w:w="4386"/>
      <w:gridCol w:w="4390"/>
    </w:tblGrid>
    <w:tr w:rsidR="00023824" w:rsidRPr="00332978" w14:paraId="05BD036D" w14:textId="77777777" w:rsidTr="00023824">
      <w:trPr>
        <w:trHeight w:val="357"/>
      </w:trPr>
      <w:tc>
        <w:tcPr>
          <w:tcW w:w="2499" w:type="pct"/>
        </w:tcPr>
        <w:p w14:paraId="6CF8A97F" w14:textId="77777777" w:rsidR="00023824" w:rsidRPr="00332978" w:rsidRDefault="00023824" w:rsidP="003E14C1">
          <w:pPr>
            <w:pStyle w:val="BodyTextHeaderFooter"/>
            <w:spacing w:before="0" w:after="0" w:line="240" w:lineRule="auto"/>
          </w:pPr>
        </w:p>
      </w:tc>
      <w:sdt>
        <w:sdtPr>
          <w:alias w:val="BHDC Region"/>
          <w:tag w:val="3DE57652DBF94EC69CD9C87CBF9D3232"/>
          <w:id w:val="-1666472377"/>
        </w:sdtPr>
        <w:sdtContent>
          <w:tc>
            <w:tcPr>
              <w:tcW w:w="2501" w:type="pct"/>
              <w:vAlign w:val="bottom"/>
            </w:tcPr>
            <w:p w14:paraId="1A8B60C1" w14:textId="77777777" w:rsidR="00023824" w:rsidRPr="00332978" w:rsidRDefault="00023824" w:rsidP="00023824">
              <w:pPr>
                <w:pStyle w:val="BodyTextHeaderFooter"/>
                <w:spacing w:before="0" w:after="0" w:line="240" w:lineRule="auto"/>
              </w:pPr>
              <w:r>
                <w:fldChar w:fldCharType="begin"/>
              </w:r>
              <w:r>
                <w:instrText xml:space="preserve"> PAGE   \* MERGEFORMAT </w:instrText>
              </w:r>
              <w:r>
                <w:fldChar w:fldCharType="separate"/>
              </w:r>
              <w:r>
                <w:rPr>
                  <w:noProof/>
                </w:rPr>
                <w:t>1</w:t>
              </w:r>
              <w:r>
                <w:rPr>
                  <w:noProof/>
                </w:rPr>
                <w:fldChar w:fldCharType="end"/>
              </w:r>
            </w:p>
          </w:tc>
        </w:sdtContent>
      </w:sdt>
    </w:tr>
  </w:tbl>
  <w:p w14:paraId="3F391E47" w14:textId="77777777" w:rsidR="00A149F8" w:rsidRPr="009C524C" w:rsidRDefault="00A149F8" w:rsidP="003E14C1">
    <w:pPr>
      <w:pStyle w:val="BodyTextHeaderFooter"/>
      <w:spacing w:before="0" w:after="0" w:line="240"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2979"/>
      <w:gridCol w:w="2980"/>
      <w:gridCol w:w="3111"/>
    </w:tblGrid>
    <w:tr w:rsidR="001835F7" w:rsidRPr="00332978" w14:paraId="3593358D" w14:textId="77777777" w:rsidTr="003E24CB">
      <w:tc>
        <w:tcPr>
          <w:tcW w:w="1642" w:type="pct"/>
        </w:tcPr>
        <w:p w14:paraId="6EAAF25A" w14:textId="77777777" w:rsidR="001835F7" w:rsidRPr="00332978" w:rsidRDefault="001835F7" w:rsidP="003E14C1">
          <w:pPr>
            <w:pStyle w:val="BodyTextHeaderFooter"/>
            <w:spacing w:before="0" w:after="0" w:line="240" w:lineRule="auto"/>
          </w:pPr>
        </w:p>
      </w:tc>
      <w:sdt>
        <w:sdtPr>
          <w:alias w:val="Outline Region"/>
          <w:tag w:val="3E004F77B7BB4D5E99E3BEBCDDD6133F"/>
          <w:id w:val="1710379825"/>
        </w:sdtPr>
        <w:sdtContent>
          <w:tc>
            <w:tcPr>
              <w:tcW w:w="1643" w:type="pct"/>
              <w:vAlign w:val="bottom"/>
            </w:tcPr>
            <w:p w14:paraId="2F2054D7" w14:textId="77777777" w:rsidR="001835F7" w:rsidRPr="00332978" w:rsidRDefault="001835F7" w:rsidP="003E14C1">
              <w:pPr>
                <w:pStyle w:val="BodyTextHeaderFooter"/>
                <w:spacing w:before="0" w:after="0" w:line="240" w:lineRule="auto"/>
                <w:jc w:val="center"/>
              </w:pPr>
              <w:r>
                <w:fldChar w:fldCharType="begin"/>
              </w:r>
              <w:r>
                <w:instrText xml:space="preserve"> PAGE   \* MERGEFORMAT </w:instrText>
              </w:r>
              <w:r>
                <w:fldChar w:fldCharType="separate"/>
              </w:r>
              <w:r>
                <w:rPr>
                  <w:noProof/>
                </w:rPr>
                <w:t>1</w:t>
              </w:r>
              <w:r>
                <w:rPr>
                  <w:noProof/>
                </w:rPr>
                <w:fldChar w:fldCharType="end"/>
              </w:r>
            </w:p>
          </w:tc>
        </w:sdtContent>
      </w:sdt>
      <w:sdt>
        <w:sdtPr>
          <w:alias w:val="Outline Region"/>
          <w:tag w:val="4F14A38FC4BC4B1290ED4B35F3E96F32"/>
          <w:id w:val="-861975037"/>
        </w:sdtPr>
        <w:sdtContent>
          <w:tc>
            <w:tcPr>
              <w:tcW w:w="1716" w:type="pct"/>
            </w:tcPr>
            <w:p w14:paraId="0663968C" w14:textId="77777777" w:rsidR="001835F7" w:rsidRPr="00332978" w:rsidRDefault="00000000" w:rsidP="003E14C1">
              <w:pPr>
                <w:pStyle w:val="BodyTextHeaderFooter"/>
                <w:spacing w:before="0" w:after="0" w:line="240" w:lineRule="auto"/>
                <w:jc w:val="right"/>
              </w:pPr>
              <w:sdt>
                <w:sdtPr>
                  <w:alias w:val="Outline Content"/>
                  <w:tag w:val="5C6E6F2232BA41E49CCFE18F43C0CA3E"/>
                  <w:id w:val="743147755"/>
                  <w:placeholder>
                    <w:docPart w:val="E717233DE6DF47E8AB01A85E0627FE4A"/>
                  </w:placeholder>
                </w:sdtPr>
                <w:sdtContent>
                  <w:r w:rsidR="001835F7">
                    <w:t>163213338</w:t>
                  </w:r>
                </w:sdtContent>
              </w:sdt>
              <w:r w:rsidR="001835F7">
                <w:t>.</w:t>
              </w:r>
              <w:sdt>
                <w:sdtPr>
                  <w:alias w:val="Outline Content"/>
                  <w:tag w:val="ED5F10EE3D804321B75C747A589721FD"/>
                  <w:id w:val="80262462"/>
                  <w:placeholder>
                    <w:docPart w:val="46BCF5699DD84DE3BA0FEC8411D4BF48"/>
                  </w:placeholder>
                </w:sdtPr>
                <w:sdtContent>
                  <w:r w:rsidR="001835F7">
                    <w:t>2</w:t>
                  </w:r>
                </w:sdtContent>
              </w:sdt>
              <w:r w:rsidR="001835F7">
                <w:t xml:space="preserve"> </w:t>
              </w:r>
            </w:p>
          </w:tc>
        </w:sdtContent>
      </w:sdt>
    </w:tr>
  </w:tbl>
  <w:p w14:paraId="6B7A4101" w14:textId="77777777" w:rsidR="001835F7" w:rsidRPr="009C524C" w:rsidRDefault="001835F7" w:rsidP="003E14C1">
    <w:pPr>
      <w:pStyle w:val="BodyTextHeaderFooter"/>
      <w:spacing w:before="0" w:after="0" w:line="240"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285" w:type="pct"/>
      <w:tblLook w:val="04A0" w:firstRow="1" w:lastRow="0" w:firstColumn="1" w:lastColumn="0" w:noHBand="0" w:noVBand="1"/>
    </w:tblPr>
    <w:tblGrid>
      <w:gridCol w:w="2979"/>
      <w:gridCol w:w="2980"/>
    </w:tblGrid>
    <w:tr w:rsidR="00023824" w:rsidRPr="00332978" w14:paraId="558A9FA4" w14:textId="77777777" w:rsidTr="00023824">
      <w:tc>
        <w:tcPr>
          <w:tcW w:w="2500" w:type="pct"/>
        </w:tcPr>
        <w:p w14:paraId="4CC14E1D" w14:textId="77777777" w:rsidR="00023824" w:rsidRPr="00332978" w:rsidRDefault="00023824" w:rsidP="003E14C1">
          <w:pPr>
            <w:pStyle w:val="BodyTextHeaderFooter"/>
            <w:spacing w:before="0" w:after="0" w:line="240" w:lineRule="auto"/>
          </w:pPr>
        </w:p>
      </w:tc>
      <w:sdt>
        <w:sdtPr>
          <w:alias w:val="BHDC Region"/>
          <w:tag w:val="3DE57652DBF94EC69CD9C87CBF9D3232"/>
          <w:id w:val="834349811"/>
        </w:sdtPr>
        <w:sdtContent>
          <w:tc>
            <w:tcPr>
              <w:tcW w:w="2500" w:type="pct"/>
              <w:vAlign w:val="bottom"/>
            </w:tcPr>
            <w:p w14:paraId="2EDE8FA5" w14:textId="77777777" w:rsidR="00023824" w:rsidRPr="00332978" w:rsidRDefault="00023824" w:rsidP="003E14C1">
              <w:pPr>
                <w:pStyle w:val="BodyTextHeaderFooter"/>
                <w:spacing w:before="0" w:after="0" w:line="240" w:lineRule="auto"/>
                <w:jc w:val="center"/>
              </w:pPr>
              <w:r>
                <w:fldChar w:fldCharType="begin"/>
              </w:r>
              <w:r>
                <w:instrText xml:space="preserve"> PAGE   \* MERGEFORMAT </w:instrText>
              </w:r>
              <w:r>
                <w:fldChar w:fldCharType="separate"/>
              </w:r>
              <w:r>
                <w:rPr>
                  <w:noProof/>
                </w:rPr>
                <w:t>1</w:t>
              </w:r>
              <w:r>
                <w:rPr>
                  <w:noProof/>
                </w:rPr>
                <w:fldChar w:fldCharType="end"/>
              </w:r>
            </w:p>
          </w:tc>
        </w:sdtContent>
      </w:sdt>
    </w:tr>
  </w:tbl>
  <w:p w14:paraId="421B4925" w14:textId="77777777" w:rsidR="001835F7" w:rsidRPr="009C524C" w:rsidRDefault="001835F7" w:rsidP="003E14C1">
    <w:pPr>
      <w:pStyle w:val="BodyTextHeaderFooter"/>
      <w:spacing w:before="0" w:after="0" w:line="24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E3E7" w14:textId="77777777" w:rsidR="00D82AEF" w:rsidRDefault="00D82AEF" w:rsidP="001F3352">
      <w:pPr>
        <w:spacing w:before="0" w:after="0"/>
      </w:pPr>
      <w:r>
        <w:separator/>
      </w:r>
    </w:p>
  </w:footnote>
  <w:footnote w:type="continuationSeparator" w:id="0">
    <w:p w14:paraId="0267201A" w14:textId="77777777" w:rsidR="00D82AEF" w:rsidRDefault="00D82AEF" w:rsidP="001F335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D89F" w14:textId="1B78B4B7" w:rsidR="003163AB" w:rsidRPr="009E0D2D" w:rsidRDefault="00AA626B" w:rsidP="009153D7">
    <w:pPr>
      <w:pStyle w:val="Kopfzeile"/>
      <w:ind w:left="-142" w:right="-850"/>
      <w:jc w:val="left"/>
    </w:pPr>
    <w:r>
      <w:rPr>
        <w:noProof/>
        <w:lang w:eastAsia="en-GB"/>
      </w:rPr>
      <mc:AlternateContent>
        <mc:Choice Requires="wps">
          <w:drawing>
            <wp:anchor distT="45720" distB="45720" distL="114300" distR="114300" simplePos="0" relativeHeight="251658240" behindDoc="0" locked="0" layoutInCell="0" allowOverlap="1" wp14:anchorId="0B19289B" wp14:editId="00B98A08">
              <wp:simplePos x="0" y="0"/>
              <wp:positionH relativeFrom="page">
                <wp:posOffset>3510280</wp:posOffset>
              </wp:positionH>
              <wp:positionV relativeFrom="page">
                <wp:posOffset>360045</wp:posOffset>
              </wp:positionV>
              <wp:extent cx="3600000" cy="306000"/>
              <wp:effectExtent l="0" t="0" r="63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306000"/>
                      </a:xfrm>
                      <a:prstGeom prst="rect">
                        <a:avLst/>
                      </a:prstGeom>
                      <a:solidFill>
                        <a:srgbClr val="FFFFFF"/>
                      </a:solidFill>
                      <a:ln w="9525">
                        <a:noFill/>
                        <a:miter lim="800000"/>
                        <a:headEnd/>
                        <a:tailEnd/>
                      </a:ln>
                    </wps:spPr>
                    <wps:txbx>
                      <w:txbxContent>
                        <w:sdt>
                          <w:sdtPr>
                            <w:alias w:val="Outline Content"/>
                            <w:tag w:val="D901E34CFA5D40F9A0AEFBD4BB63B3FD"/>
                            <w:id w:val="838356694"/>
                            <w:placeholder>
                              <w:docPart w:val="71813C54DD0C450FA030BD1D73AE950E"/>
                            </w:placeholder>
                            <w:showingPlcHdr/>
                          </w:sdtPr>
                          <w:sdtContent>
                            <w:p w14:paraId="44D113E2" w14:textId="77777777" w:rsidR="00AA626B" w:rsidRPr="00BB2093" w:rsidRDefault="00000000" w:rsidP="00C90832">
                              <w:pPr>
                                <w:jc w:val="right"/>
                              </w:pPr>
                            </w:p>
                          </w:sdtContent>
                        </w:sdt>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19289B" id="_x0000_t202" coordsize="21600,21600" o:spt="202" path="m,l,21600r21600,l21600,xe">
              <v:stroke joinstyle="miter"/>
              <v:path gradientshapeok="t" o:connecttype="rect"/>
            </v:shapetype>
            <v:shape id="Text Box 2" o:spid="_x0000_s1026" type="#_x0000_t202" style="position:absolute;left:0;text-align:left;margin-left:276.4pt;margin-top:28.35pt;width:283.45pt;height:24.1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" o:allowincell="f" stroked="f">
              <v:textbox style="mso-fit-shape-to-text:t" inset="0,0,0,0">
                <w:txbxContent>
                  <w:sdt>
                    <w:sdtPr>
                      <w:alias w:val="Outline Content"/>
                      <w:tag w:val="D901E34CFA5D40F9A0AEFBD4BB63B3FD"/>
                      <w:id w:val="838356694"/>
                      <w:placeholder>
                        <w:docPart w:val="71813C54DD0C450FA030BD1D73AE950E"/>
                      </w:placeholder>
                      <w:showingPlcHdr/>
                    </w:sdtPr>
                    <w:sdtContent>
                      <w:p w14:paraId="44D113E2" w14:textId="77777777" w:rsidR="00AA626B" w:rsidRPr="00BB2093" w:rsidRDefault="00000000" w:rsidP="00C90832">
                        <w:pPr>
                          <w:jc w:val="right"/>
                        </w:pPr>
                      </w:p>
                    </w:sdtContent>
                  </w:sdt>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D56B" w14:textId="77777777" w:rsidR="001835F7" w:rsidRDefault="001835F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D239" w14:textId="77777777" w:rsidR="001835F7" w:rsidRPr="009E0D2D" w:rsidRDefault="001835F7" w:rsidP="001D3A54">
    <w:pPr>
      <w:pStyle w:val="Kopfzeile"/>
      <w:ind w:right="-850"/>
    </w:pPr>
    <w:r>
      <w:rPr>
        <w:noProof/>
        <w:lang w:eastAsia="en-GB"/>
      </w:rPr>
      <mc:AlternateContent>
        <mc:Choice Requires="wps">
          <w:drawing>
            <wp:anchor distT="45720" distB="45720" distL="114300" distR="114300" simplePos="0" relativeHeight="251660288" behindDoc="0" locked="0" layoutInCell="0" allowOverlap="1" wp14:anchorId="6FA29B30" wp14:editId="4C2865AA">
              <wp:simplePos x="0" y="0"/>
              <wp:positionH relativeFrom="page">
                <wp:posOffset>3510280</wp:posOffset>
              </wp:positionH>
              <wp:positionV relativeFrom="page">
                <wp:posOffset>360045</wp:posOffset>
              </wp:positionV>
              <wp:extent cx="3600000" cy="306000"/>
              <wp:effectExtent l="0" t="0" r="635" b="0"/>
              <wp:wrapNone/>
              <wp:docPr id="1572798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306000"/>
                      </a:xfrm>
                      <a:prstGeom prst="rect">
                        <a:avLst/>
                      </a:prstGeom>
                      <a:solidFill>
                        <a:srgbClr val="FFFFFF"/>
                      </a:solidFill>
                      <a:ln w="9525">
                        <a:noFill/>
                        <a:miter lim="800000"/>
                        <a:headEnd/>
                        <a:tailEnd/>
                      </a:ln>
                    </wps:spPr>
                    <wps:txbx>
                      <w:txbxContent>
                        <w:sdt>
                          <w:sdtPr>
                            <w:alias w:val="Outline Content"/>
                            <w:tag w:val="D901E34CFA5D40F9A0AEFBD4BB63B3FD"/>
                            <w:id w:val="1348449493"/>
                            <w:showingPlcHdr/>
                          </w:sdtPr>
                          <w:sdtContent>
                            <w:p w14:paraId="79997FB2" w14:textId="77777777" w:rsidR="001835F7" w:rsidRPr="00BB2093" w:rsidRDefault="00000000" w:rsidP="00C90832">
                              <w:pPr>
                                <w:jc w:val="right"/>
                              </w:pPr>
                            </w:p>
                          </w:sdtContent>
                        </w:sdt>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FA29B30" id="_x0000_t202" coordsize="21600,21600" o:spt="202" path="m,l,21600r21600,l21600,xe">
              <v:stroke joinstyle="miter"/>
              <v:path gradientshapeok="t" o:connecttype="rect"/>
            </v:shapetype>
            <v:shape id="_x0000_s1027" type="#_x0000_t202" style="position:absolute;left:0;text-align:left;margin-left:276.4pt;margin-top:28.35pt;width:283.45pt;height:24.1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" o:allowincell="f" stroked="f">
              <v:textbox style="mso-fit-shape-to-text:t" inset="0,0,0,0">
                <w:txbxContent>
                  <w:sdt>
                    <w:sdtPr>
                      <w:alias w:val="Outline Content"/>
                      <w:tag w:val="D901E34CFA5D40F9A0AEFBD4BB63B3FD"/>
                      <w:id w:val="1348449493"/>
                      <w:showingPlcHdr/>
                    </w:sdtPr>
                    <w:sdtContent>
                      <w:p w14:paraId="79997FB2" w14:textId="77777777" w:rsidR="001835F7" w:rsidRPr="00BB2093" w:rsidRDefault="00000000" w:rsidP="00C90832">
                        <w:pPr>
                          <w:jc w:val="right"/>
                        </w:pPr>
                      </w:p>
                    </w:sdtContent>
                  </w:sdt>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66EA9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A4CD87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BB3EF28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6B6288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2EA0E2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AE7FE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94A8E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BE409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94C9FA"/>
    <w:lvl w:ilvl="0">
      <w:start w:val="1"/>
      <w:numFmt w:val="decimal"/>
      <w:pStyle w:val="Listennummer"/>
      <w:lvlText w:val="%1."/>
      <w:lvlJc w:val="left"/>
      <w:pPr>
        <w:tabs>
          <w:tab w:val="num" w:pos="360"/>
        </w:tabs>
        <w:ind w:left="360" w:hanging="360"/>
      </w:pPr>
    </w:lvl>
  </w:abstractNum>
  <w:abstractNum w:abstractNumId="9" w15:restartNumberingAfterBreak="0">
    <w:nsid w:val="FFFFFFFB"/>
    <w:multiLevelType w:val="multilevel"/>
    <w:tmpl w:val="D11EF89C"/>
    <w:name w:val="Heading"/>
    <w:lvl w:ilvl="0">
      <w:start w:val="1"/>
      <w:numFmt w:val="none"/>
      <w:lvlText w:val=""/>
      <w:lvlJc w:val="left"/>
      <w:pPr>
        <w:tabs>
          <w:tab w:val="num" w:pos="0"/>
        </w:tabs>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lowerLetter"/>
      <w:lvlText w:val="(%4)"/>
      <w:lvlJc w:val="left"/>
      <w:pPr>
        <w:tabs>
          <w:tab w:val="num" w:pos="1440"/>
        </w:tabs>
        <w:ind w:left="1440" w:hanging="720"/>
      </w:pPr>
      <w:rPr>
        <w:rFonts w:ascii="Arial" w:hAnsi="Arial" w:cs="Arial" w:hint="default"/>
        <w:b w:val="0"/>
        <w:i w:val="0"/>
        <w:sz w:val="20"/>
      </w:rPr>
    </w:lvl>
    <w:lvl w:ilvl="4">
      <w:start w:val="1"/>
      <w:numFmt w:val="lowerRoman"/>
      <w:lvlText w:val="(%5)"/>
      <w:lvlJc w:val="left"/>
      <w:pPr>
        <w:tabs>
          <w:tab w:val="num" w:pos="2160"/>
        </w:tabs>
        <w:ind w:left="2160" w:hanging="720"/>
      </w:pPr>
      <w:rPr>
        <w:rFonts w:ascii="Arial" w:hAnsi="Arial" w:cs="Arial" w:hint="default"/>
        <w:b w:val="0"/>
        <w:i w:val="0"/>
        <w:sz w:val="20"/>
      </w:rPr>
    </w:lvl>
    <w:lvl w:ilvl="5">
      <w:start w:val="1"/>
      <w:numFmt w:val="upperLetter"/>
      <w:lvlText w:val="(%6)"/>
      <w:lvlJc w:val="left"/>
      <w:pPr>
        <w:tabs>
          <w:tab w:val="num" w:pos="2880"/>
        </w:tabs>
        <w:ind w:left="2880" w:hanging="720"/>
      </w:pPr>
      <w:rPr>
        <w:rFonts w:ascii="Arial" w:hAnsi="Arial" w:cs="Arial" w:hint="default"/>
        <w:b w:val="0"/>
        <w:i w:val="0"/>
        <w:sz w:val="20"/>
      </w:rPr>
    </w:lvl>
    <w:lvl w:ilvl="6">
      <w:start w:val="1"/>
      <w:numFmt w:val="lowerRoman"/>
      <w:lvlText w:val="(%7)"/>
      <w:lvlJc w:val="left"/>
      <w:pPr>
        <w:tabs>
          <w:tab w:val="num" w:pos="0"/>
        </w:tabs>
        <w:ind w:left="4298" w:hanging="709"/>
      </w:pPr>
      <w:rPr>
        <w:rFonts w:hint="default"/>
      </w:rPr>
    </w:lvl>
    <w:lvl w:ilvl="7">
      <w:start w:val="1"/>
      <w:numFmt w:val="lowerLetter"/>
      <w:lvlText w:val="(%8)"/>
      <w:lvlJc w:val="left"/>
      <w:pPr>
        <w:tabs>
          <w:tab w:val="num" w:pos="0"/>
        </w:tabs>
        <w:ind w:left="5007" w:hanging="709"/>
      </w:pPr>
      <w:rPr>
        <w:rFonts w:hint="default"/>
      </w:rPr>
    </w:lvl>
    <w:lvl w:ilvl="8">
      <w:start w:val="1"/>
      <w:numFmt w:val="lowerRoman"/>
      <w:lvlText w:val="(%9)"/>
      <w:lvlJc w:val="left"/>
      <w:pPr>
        <w:tabs>
          <w:tab w:val="num" w:pos="0"/>
        </w:tabs>
        <w:ind w:left="5710" w:hanging="703"/>
      </w:pPr>
      <w:rPr>
        <w:rFonts w:hint="default"/>
      </w:rPr>
    </w:lvl>
  </w:abstractNum>
  <w:abstractNum w:abstractNumId="10" w15:restartNumberingAfterBreak="0">
    <w:nsid w:val="00AB3BC7"/>
    <w:multiLevelType w:val="multilevel"/>
    <w:tmpl w:val="EA18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843EBC"/>
    <w:multiLevelType w:val="hybridMultilevel"/>
    <w:tmpl w:val="F7562F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53D27BD"/>
    <w:multiLevelType w:val="multilevel"/>
    <w:tmpl w:val="88DCDAD6"/>
    <w:name w:val="Schedule"/>
    <w:styleLink w:val="Schedules"/>
    <w:lvl w:ilvl="0">
      <w:start w:val="1"/>
      <w:numFmt w:val="none"/>
      <w:pStyle w:val="Schedule"/>
      <w:suff w:val="space"/>
      <w:lvlText w:val=""/>
      <w:lvlJc w:val="left"/>
      <w:pPr>
        <w:ind w:left="360" w:hanging="360"/>
      </w:pPr>
      <w:rPr>
        <w:rFonts w:hint="default"/>
      </w:rPr>
    </w:lvl>
    <w:lvl w:ilvl="1">
      <w:start w:val="1"/>
      <w:numFmt w:val="decimal"/>
      <w:pStyle w:val="ScheduleText"/>
      <w:lvlText w:val="%2."/>
      <w:lvlJc w:val="left"/>
      <w:pPr>
        <w:tabs>
          <w:tab w:val="num" w:pos="720"/>
        </w:tabs>
        <w:ind w:left="720" w:hanging="720"/>
      </w:pPr>
      <w:rPr>
        <w:rFonts w:hint="default"/>
      </w:rPr>
    </w:lvl>
    <w:lvl w:ilvl="2">
      <w:start w:val="1"/>
      <w:numFmt w:val="decimal"/>
      <w:pStyle w:val="ScheduleTextLevel2"/>
      <w:lvlText w:val="%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7FD1557"/>
    <w:multiLevelType w:val="multilevel"/>
    <w:tmpl w:val="BA1A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50342"/>
    <w:multiLevelType w:val="multilevel"/>
    <w:tmpl w:val="4528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AE75C3"/>
    <w:multiLevelType w:val="multilevel"/>
    <w:tmpl w:val="FB3A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7C65A2"/>
    <w:multiLevelType w:val="multilevel"/>
    <w:tmpl w:val="926C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A85003"/>
    <w:multiLevelType w:val="multilevel"/>
    <w:tmpl w:val="94E4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DE7082"/>
    <w:multiLevelType w:val="multilevel"/>
    <w:tmpl w:val="F9E0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5008B6"/>
    <w:multiLevelType w:val="multilevel"/>
    <w:tmpl w:val="CA98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501210"/>
    <w:multiLevelType w:val="multilevel"/>
    <w:tmpl w:val="5DD6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F31473"/>
    <w:multiLevelType w:val="multilevel"/>
    <w:tmpl w:val="80A4B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7A6C75"/>
    <w:multiLevelType w:val="multilevel"/>
    <w:tmpl w:val="13D6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AD1DCE"/>
    <w:multiLevelType w:val="multilevel"/>
    <w:tmpl w:val="F1DAF816"/>
    <w:lvl w:ilvl="0">
      <w:start w:val="1"/>
      <w:numFmt w:val="none"/>
      <w:pStyle w:val="berschrift1"/>
      <w:suff w:val="nothing"/>
      <w:lvlText w:val=""/>
      <w:lvlJc w:val="left"/>
      <w:pPr>
        <w:ind w:left="0" w:firstLine="0"/>
      </w:pPr>
      <w:rPr>
        <w:rFonts w:hint="default"/>
      </w:rPr>
    </w:lvl>
    <w:lvl w:ilvl="1">
      <w:start w:val="1"/>
      <w:numFmt w:val="decimal"/>
      <w:pStyle w:val="berschrift2"/>
      <w:lvlText w:val="%2"/>
      <w:lvlJc w:val="left"/>
      <w:pPr>
        <w:tabs>
          <w:tab w:val="num" w:pos="794"/>
        </w:tabs>
        <w:ind w:left="792" w:hanging="792"/>
      </w:pPr>
      <w:rPr>
        <w:rFonts w:hint="default"/>
      </w:rPr>
    </w:lvl>
    <w:lvl w:ilvl="2">
      <w:start w:val="1"/>
      <w:numFmt w:val="decimal"/>
      <w:pStyle w:val="berschrift3"/>
      <w:lvlText w:val="%2.%3"/>
      <w:lvlJc w:val="left"/>
      <w:pPr>
        <w:tabs>
          <w:tab w:val="num" w:pos="794"/>
        </w:tabs>
        <w:ind w:left="794" w:hanging="794"/>
      </w:pPr>
      <w:rPr>
        <w:rFonts w:hint="default"/>
      </w:rPr>
    </w:lvl>
    <w:lvl w:ilvl="3">
      <w:start w:val="1"/>
      <w:numFmt w:val="decimal"/>
      <w:pStyle w:val="berschrift4"/>
      <w:lvlText w:val="%2.%3.%4"/>
      <w:lvlJc w:val="left"/>
      <w:pPr>
        <w:tabs>
          <w:tab w:val="num" w:pos="794"/>
        </w:tabs>
        <w:ind w:left="794" w:hanging="794"/>
      </w:pPr>
      <w:rPr>
        <w:rFonts w:hint="default"/>
      </w:rPr>
    </w:lvl>
    <w:lvl w:ilvl="4">
      <w:start w:val="1"/>
      <w:numFmt w:val="decimal"/>
      <w:pStyle w:val="berschrift5"/>
      <w:lvlText w:val="%2.%3.%4.%5"/>
      <w:lvlJc w:val="left"/>
      <w:pPr>
        <w:tabs>
          <w:tab w:val="num" w:pos="794"/>
        </w:tabs>
        <w:ind w:left="794" w:hanging="794"/>
      </w:pPr>
      <w:rPr>
        <w:rFonts w:hint="default"/>
      </w:rPr>
    </w:lvl>
    <w:lvl w:ilvl="5">
      <w:start w:val="1"/>
      <w:numFmt w:val="decimal"/>
      <w:pStyle w:val="berschrift6"/>
      <w:lvlText w:val="%2.%3.%4.%5.%6"/>
      <w:lvlJc w:val="left"/>
      <w:pPr>
        <w:tabs>
          <w:tab w:val="num" w:pos="1418"/>
        </w:tabs>
        <w:ind w:left="1418" w:hanging="1418"/>
      </w:pPr>
      <w:rPr>
        <w:rFonts w:hint="default"/>
      </w:rPr>
    </w:lvl>
    <w:lvl w:ilvl="6">
      <w:start w:val="1"/>
      <w:numFmt w:val="decimal"/>
      <w:pStyle w:val="berschrift7"/>
      <w:lvlText w:val="%2.%3.%4.%5.%6.%7"/>
      <w:lvlJc w:val="left"/>
      <w:pPr>
        <w:tabs>
          <w:tab w:val="num" w:pos="1418"/>
        </w:tabs>
        <w:ind w:left="1418" w:hanging="1418"/>
      </w:pPr>
      <w:rPr>
        <w:rFonts w:hint="default"/>
      </w:rPr>
    </w:lvl>
    <w:lvl w:ilvl="7">
      <w:start w:val="1"/>
      <w:numFmt w:val="decimal"/>
      <w:pStyle w:val="berschrift8"/>
      <w:lvlText w:val="%2.%3.%4.%5.%6.%7.%8"/>
      <w:lvlJc w:val="left"/>
      <w:pPr>
        <w:tabs>
          <w:tab w:val="num" w:pos="1418"/>
        </w:tabs>
        <w:ind w:left="1418" w:hanging="1418"/>
      </w:pPr>
      <w:rPr>
        <w:rFonts w:hint="default"/>
      </w:rPr>
    </w:lvl>
    <w:lvl w:ilvl="8">
      <w:start w:val="1"/>
      <w:numFmt w:val="decimal"/>
      <w:pStyle w:val="berschrift9"/>
      <w:lvlText w:val="%2.%3.%4.%5.%6.%7.%8.%9"/>
      <w:lvlJc w:val="left"/>
      <w:pPr>
        <w:tabs>
          <w:tab w:val="num" w:pos="1418"/>
        </w:tabs>
        <w:ind w:left="1418" w:hanging="1418"/>
      </w:pPr>
      <w:rPr>
        <w:rFonts w:hint="default"/>
      </w:rPr>
    </w:lvl>
  </w:abstractNum>
  <w:abstractNum w:abstractNumId="24" w15:restartNumberingAfterBreak="0">
    <w:nsid w:val="1B0D6B7D"/>
    <w:multiLevelType w:val="multilevel"/>
    <w:tmpl w:val="B45A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E85452"/>
    <w:multiLevelType w:val="multilevel"/>
    <w:tmpl w:val="41EC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022A62"/>
    <w:multiLevelType w:val="multilevel"/>
    <w:tmpl w:val="7A58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394232"/>
    <w:multiLevelType w:val="multilevel"/>
    <w:tmpl w:val="61662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DFD17E0"/>
    <w:multiLevelType w:val="multilevel"/>
    <w:tmpl w:val="54F49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EA7253A"/>
    <w:multiLevelType w:val="hybridMultilevel"/>
    <w:tmpl w:val="49443E46"/>
    <w:lvl w:ilvl="0" w:tplc="41667092">
      <w:start w:val="1"/>
      <w:numFmt w:val="bullet"/>
      <w:pStyle w:val="BulletStrich"/>
      <w:lvlText w:val="–"/>
      <w:lvlJc w:val="left"/>
      <w:pPr>
        <w:tabs>
          <w:tab w:val="num" w:pos="1418"/>
        </w:tabs>
        <w:ind w:left="1418" w:hanging="624"/>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2752B43"/>
    <w:multiLevelType w:val="multilevel"/>
    <w:tmpl w:val="D3E46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3857141"/>
    <w:multiLevelType w:val="multilevel"/>
    <w:tmpl w:val="5342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574B01"/>
    <w:multiLevelType w:val="multilevel"/>
    <w:tmpl w:val="4A028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4662811"/>
    <w:multiLevelType w:val="hybridMultilevel"/>
    <w:tmpl w:val="45B8334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4C719BD"/>
    <w:multiLevelType w:val="multilevel"/>
    <w:tmpl w:val="2E70C6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5F651F"/>
    <w:multiLevelType w:val="multilevel"/>
    <w:tmpl w:val="295A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4B1E12"/>
    <w:multiLevelType w:val="hybridMultilevel"/>
    <w:tmpl w:val="BA7E0740"/>
    <w:lvl w:ilvl="0" w:tplc="668C6AE0">
      <w:start w:val="1"/>
      <w:numFmt w:val="bullet"/>
      <w:pStyle w:val="Aufzhlungszeichen"/>
      <w:lvlText w:val="●"/>
      <w:lvlJc w:val="left"/>
      <w:pPr>
        <w:tabs>
          <w:tab w:val="num" w:pos="720"/>
        </w:tabs>
        <w:ind w:left="720" w:hanging="720"/>
      </w:pPr>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7A51A9E"/>
    <w:multiLevelType w:val="multilevel"/>
    <w:tmpl w:val="B90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700C4D"/>
    <w:multiLevelType w:val="multilevel"/>
    <w:tmpl w:val="2E2C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A46029"/>
    <w:multiLevelType w:val="hybridMultilevel"/>
    <w:tmpl w:val="86EEED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29AD179E"/>
    <w:multiLevelType w:val="multilevel"/>
    <w:tmpl w:val="93BE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971979"/>
    <w:multiLevelType w:val="multilevel"/>
    <w:tmpl w:val="F456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A23EAB"/>
    <w:multiLevelType w:val="multilevel"/>
    <w:tmpl w:val="E2E0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B0C17EF"/>
    <w:multiLevelType w:val="multilevel"/>
    <w:tmpl w:val="E110E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F533D6B"/>
    <w:multiLevelType w:val="hybridMultilevel"/>
    <w:tmpl w:val="EC8C65B0"/>
    <w:lvl w:ilvl="0" w:tplc="BE8C96B0">
      <w:start w:val="1"/>
      <w:numFmt w:val="upperLetter"/>
      <w:pStyle w:val="Recital"/>
      <w:lvlText w:val="(%1)"/>
      <w:lvlJc w:val="left"/>
      <w:pPr>
        <w:tabs>
          <w:tab w:val="num" w:pos="0"/>
        </w:tabs>
        <w:ind w:left="720" w:hanging="720"/>
      </w:pPr>
      <w:rPr>
        <w:rFonts w:ascii="Arial" w:hAnsi="Arial" w:cs="Times New Roman"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2FF63E04"/>
    <w:multiLevelType w:val="multilevel"/>
    <w:tmpl w:val="D3A4C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FC1383"/>
    <w:multiLevelType w:val="multilevel"/>
    <w:tmpl w:val="8C4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02A0466"/>
    <w:multiLevelType w:val="multilevel"/>
    <w:tmpl w:val="BB92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1BE153C"/>
    <w:multiLevelType w:val="multilevel"/>
    <w:tmpl w:val="A5F4F2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27025C2"/>
    <w:multiLevelType w:val="multilevel"/>
    <w:tmpl w:val="5E38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31A36AD"/>
    <w:multiLevelType w:val="singleLevel"/>
    <w:tmpl w:val="076865FA"/>
    <w:name w:val="Parties"/>
    <w:lvl w:ilvl="0">
      <w:start w:val="1"/>
      <w:numFmt w:val="decimal"/>
      <w:pStyle w:val="Parties"/>
      <w:lvlText w:val="(%1)"/>
      <w:legacy w:legacy="1" w:legacySpace="0" w:legacyIndent="720"/>
      <w:lvlJc w:val="left"/>
      <w:pPr>
        <w:ind w:left="720" w:hanging="720"/>
      </w:pPr>
      <w:rPr>
        <w:rFonts w:ascii="Arial" w:hAnsi="Arial" w:cs="Arial" w:hint="default"/>
        <w:b w:val="0"/>
        <w:i w:val="0"/>
        <w:sz w:val="20"/>
      </w:rPr>
    </w:lvl>
  </w:abstractNum>
  <w:abstractNum w:abstractNumId="51" w15:restartNumberingAfterBreak="0">
    <w:nsid w:val="33FD1DCB"/>
    <w:multiLevelType w:val="multilevel"/>
    <w:tmpl w:val="5846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4F96193"/>
    <w:multiLevelType w:val="multilevel"/>
    <w:tmpl w:val="3B0C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C454DE"/>
    <w:multiLevelType w:val="hybridMultilevel"/>
    <w:tmpl w:val="35E88EEC"/>
    <w:lvl w:ilvl="0" w:tplc="4DD8A8C0">
      <w:start w:val="1"/>
      <w:numFmt w:val="none"/>
      <w:pStyle w:val="Glaubhaftmachung"/>
      <w:lvlText w:val="Glaubhaftmachung:"/>
      <w:lvlJc w:val="left"/>
      <w:pPr>
        <w:tabs>
          <w:tab w:val="num" w:pos="2268"/>
        </w:tabs>
        <w:ind w:left="2268" w:hanging="2268"/>
      </w:pPr>
      <w:rPr>
        <w:rFonts w:asciiTheme="majorHAnsi" w:hAnsiTheme="majorHAnsi" w:cstheme="majorHAnsi" w:hint="default"/>
        <w:b/>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35CE5D48"/>
    <w:multiLevelType w:val="multilevel"/>
    <w:tmpl w:val="9D12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6CF509B"/>
    <w:multiLevelType w:val="multilevel"/>
    <w:tmpl w:val="0B22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6D25111"/>
    <w:multiLevelType w:val="hybridMultilevel"/>
    <w:tmpl w:val="FBC699CE"/>
    <w:lvl w:ilvl="0" w:tplc="AA46C76C">
      <w:start w:val="1"/>
      <w:numFmt w:val="none"/>
      <w:pStyle w:val="Beweis"/>
      <w:lvlText w:val="Beweis:%1"/>
      <w:lvlJc w:val="left"/>
      <w:pPr>
        <w:tabs>
          <w:tab w:val="num" w:pos="1134"/>
        </w:tabs>
        <w:ind w:left="1134" w:hanging="1134"/>
      </w:pPr>
      <w:rPr>
        <w:rFonts w:ascii="Arial" w:hAnsi="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7" w15:restartNumberingAfterBreak="0">
    <w:nsid w:val="36D53AC8"/>
    <w:multiLevelType w:val="multilevel"/>
    <w:tmpl w:val="AFAA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C52407"/>
    <w:multiLevelType w:val="multilevel"/>
    <w:tmpl w:val="C490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8FE2552"/>
    <w:multiLevelType w:val="hybridMultilevel"/>
    <w:tmpl w:val="EC8EC158"/>
    <w:lvl w:ilvl="0" w:tplc="9C247702">
      <w:start w:val="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3A075171"/>
    <w:multiLevelType w:val="multilevel"/>
    <w:tmpl w:val="6882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A4E0FE0"/>
    <w:multiLevelType w:val="multilevel"/>
    <w:tmpl w:val="8D78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0F57D2"/>
    <w:multiLevelType w:val="multilevel"/>
    <w:tmpl w:val="A5E0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CCC1369"/>
    <w:multiLevelType w:val="multilevel"/>
    <w:tmpl w:val="A1D8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17306C"/>
    <w:multiLevelType w:val="multilevel"/>
    <w:tmpl w:val="9F70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1214C81"/>
    <w:multiLevelType w:val="multilevel"/>
    <w:tmpl w:val="82B6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1B329D4"/>
    <w:multiLevelType w:val="multilevel"/>
    <w:tmpl w:val="DA0A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2075B7C"/>
    <w:multiLevelType w:val="multilevel"/>
    <w:tmpl w:val="F954A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4B812DA"/>
    <w:multiLevelType w:val="multilevel"/>
    <w:tmpl w:val="B89C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8814828"/>
    <w:multiLevelType w:val="multilevel"/>
    <w:tmpl w:val="EA7C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9C01FE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1" w15:restartNumberingAfterBreak="0">
    <w:nsid w:val="49F1588D"/>
    <w:multiLevelType w:val="multilevel"/>
    <w:tmpl w:val="DC92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B831F58"/>
    <w:multiLevelType w:val="multilevel"/>
    <w:tmpl w:val="55DE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CF75CA4"/>
    <w:multiLevelType w:val="multilevel"/>
    <w:tmpl w:val="8E16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3B6AFD"/>
    <w:multiLevelType w:val="multilevel"/>
    <w:tmpl w:val="753C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FF07DE3"/>
    <w:multiLevelType w:val="multilevel"/>
    <w:tmpl w:val="A34C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1D35FC9"/>
    <w:multiLevelType w:val="multilevel"/>
    <w:tmpl w:val="CF20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4656EA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15:restartNumberingAfterBreak="0">
    <w:nsid w:val="54AE714C"/>
    <w:multiLevelType w:val="multilevel"/>
    <w:tmpl w:val="A74E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84F1D2A"/>
    <w:multiLevelType w:val="multilevel"/>
    <w:tmpl w:val="1EF89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8D35344"/>
    <w:multiLevelType w:val="hybridMultilevel"/>
    <w:tmpl w:val="3B6A9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59F425AE"/>
    <w:multiLevelType w:val="multilevel"/>
    <w:tmpl w:val="6752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B3E3538"/>
    <w:multiLevelType w:val="multilevel"/>
    <w:tmpl w:val="E0A84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D9C617E"/>
    <w:multiLevelType w:val="multilevel"/>
    <w:tmpl w:val="E7ECE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F0C1F38"/>
    <w:multiLevelType w:val="multilevel"/>
    <w:tmpl w:val="08090023"/>
    <w:styleLink w:val="ArtikelAbschnitt"/>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5" w15:restartNumberingAfterBreak="0">
    <w:nsid w:val="60C244B7"/>
    <w:multiLevelType w:val="multilevel"/>
    <w:tmpl w:val="C984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1F41364"/>
    <w:multiLevelType w:val="multilevel"/>
    <w:tmpl w:val="39C6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32840C7"/>
    <w:multiLevelType w:val="multilevel"/>
    <w:tmpl w:val="5050A1A0"/>
    <w:lvl w:ilvl="0">
      <w:start w:val="1"/>
      <w:numFmt w:val="decimal"/>
      <w:pStyle w:val="Num123"/>
      <w:lvlText w:val="%1."/>
      <w:lvlJc w:val="left"/>
      <w:pPr>
        <w:tabs>
          <w:tab w:val="num" w:pos="1418"/>
        </w:tabs>
        <w:ind w:left="1418" w:hanging="624"/>
      </w:pPr>
      <w:rPr>
        <w:rFonts w:ascii="Arial" w:hAnsi="Arial" w:hint="default"/>
      </w:rPr>
    </w:lvl>
    <w:lvl w:ilvl="1">
      <w:start w:val="1"/>
      <w:numFmt w:val="lowerLetter"/>
      <w:lvlRestart w:val="0"/>
      <w:pStyle w:val="Numabc"/>
      <w:lvlText w:val="%2)"/>
      <w:lvlJc w:val="left"/>
      <w:pPr>
        <w:tabs>
          <w:tab w:val="num" w:pos="1418"/>
        </w:tabs>
        <w:ind w:left="1418" w:hanging="624"/>
      </w:pPr>
      <w:rPr>
        <w:rFonts w:ascii="Arial" w:hAnsi="Arial" w:hint="default"/>
      </w:rPr>
    </w:lvl>
    <w:lvl w:ilvl="2">
      <w:start w:val="27"/>
      <w:numFmt w:val="lowerLetter"/>
      <w:pStyle w:val="Numaa"/>
      <w:lvlText w:val="%3)"/>
      <w:lvlJc w:val="left"/>
      <w:pPr>
        <w:tabs>
          <w:tab w:val="num" w:pos="1418"/>
        </w:tabs>
        <w:ind w:left="1418" w:hanging="624"/>
      </w:pPr>
      <w:rPr>
        <w:rFonts w:ascii="Arial" w:hAnsi="Arial" w:hint="default"/>
      </w:rPr>
    </w:lvl>
    <w:lvl w:ilvl="3">
      <w:start w:val="1"/>
      <w:numFmt w:val="bullet"/>
      <w:lvlRestart w:val="0"/>
      <w:lvlText w:val=""/>
      <w:lvlJc w:val="left"/>
      <w:pPr>
        <w:tabs>
          <w:tab w:val="num" w:pos="1418"/>
        </w:tabs>
        <w:ind w:left="1418" w:hanging="624"/>
      </w:pPr>
      <w:rPr>
        <w:rFonts w:ascii="Wingdings" w:hAnsi="Wingdings" w:hint="default"/>
      </w:rPr>
    </w:lvl>
    <w:lvl w:ilvl="4">
      <w:start w:val="1"/>
      <w:numFmt w:val="bullet"/>
      <w:lvlRestart w:val="0"/>
      <w:lvlText w:val="–"/>
      <w:lvlJc w:val="left"/>
      <w:pPr>
        <w:tabs>
          <w:tab w:val="num" w:pos="1418"/>
        </w:tabs>
        <w:ind w:left="1418" w:hanging="624"/>
      </w:pPr>
      <w:rPr>
        <w:rFonts w:ascii="Arial" w:hAnsi="Arial" w:hint="default"/>
      </w:rPr>
    </w:lvl>
    <w:lvl w:ilvl="5">
      <w:start w:val="1"/>
      <w:numFmt w:val="bullet"/>
      <w:lvlRestart w:val="0"/>
      <w:lvlText w:val=""/>
      <w:lvlJc w:val="left"/>
      <w:pPr>
        <w:tabs>
          <w:tab w:val="num" w:pos="1588"/>
        </w:tabs>
        <w:ind w:left="1588" w:hanging="624"/>
      </w:pPr>
      <w:rPr>
        <w:rFonts w:ascii="Wingdings" w:hAnsi="Wingdings" w:hint="default"/>
      </w:rPr>
    </w:lvl>
    <w:lvl w:ilvl="6">
      <w:start w:val="1"/>
      <w:numFmt w:val="bullet"/>
      <w:lvlRestart w:val="0"/>
      <w:lvlText w:val="–"/>
      <w:lvlJc w:val="left"/>
      <w:pPr>
        <w:tabs>
          <w:tab w:val="num" w:pos="1588"/>
        </w:tabs>
        <w:ind w:left="1588" w:hanging="624"/>
      </w:pPr>
      <w:rPr>
        <w:rFonts w:ascii="Arial" w:hAnsi="Arial" w:hint="default"/>
      </w:rPr>
    </w:lvl>
    <w:lvl w:ilvl="7">
      <w:start w:val="1"/>
      <w:numFmt w:val="bullet"/>
      <w:lvlRestart w:val="0"/>
      <w:lvlText w:val="–"/>
      <w:lvlJc w:val="left"/>
      <w:pPr>
        <w:tabs>
          <w:tab w:val="num" w:pos="1758"/>
        </w:tabs>
        <w:ind w:left="1758" w:hanging="624"/>
      </w:pPr>
      <w:rPr>
        <w:rFonts w:ascii="Arial" w:hAnsi="Arial" w:hint="default"/>
      </w:rPr>
    </w:lvl>
    <w:lvl w:ilvl="8">
      <w:start w:val="1"/>
      <w:numFmt w:val="bullet"/>
      <w:lvlRestart w:val="0"/>
      <w:lvlText w:val=""/>
      <w:lvlJc w:val="left"/>
      <w:pPr>
        <w:tabs>
          <w:tab w:val="num" w:pos="1758"/>
        </w:tabs>
        <w:ind w:left="1758" w:hanging="624"/>
      </w:pPr>
      <w:rPr>
        <w:rFonts w:ascii="Wingdings" w:hAnsi="Wingdings" w:hint="default"/>
      </w:rPr>
    </w:lvl>
  </w:abstractNum>
  <w:abstractNum w:abstractNumId="88" w15:restartNumberingAfterBreak="0">
    <w:nsid w:val="63D47B1C"/>
    <w:multiLevelType w:val="multilevel"/>
    <w:tmpl w:val="6426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3EC2A5F"/>
    <w:multiLevelType w:val="multilevel"/>
    <w:tmpl w:val="852A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4C22F19"/>
    <w:multiLevelType w:val="multilevel"/>
    <w:tmpl w:val="0BA0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5646B3E"/>
    <w:multiLevelType w:val="hybridMultilevel"/>
    <w:tmpl w:val="ADC02844"/>
    <w:lvl w:ilvl="0" w:tplc="4B9CFBCE">
      <w:start w:val="202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66534ABC"/>
    <w:multiLevelType w:val="multilevel"/>
    <w:tmpl w:val="89F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7186030"/>
    <w:multiLevelType w:val="hybridMultilevel"/>
    <w:tmpl w:val="A4CCB5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6A2D1552"/>
    <w:multiLevelType w:val="multilevel"/>
    <w:tmpl w:val="88DCDAD6"/>
    <w:name w:val="Schedule_1"/>
    <w:numStyleLink w:val="Schedules"/>
  </w:abstractNum>
  <w:abstractNum w:abstractNumId="95" w15:restartNumberingAfterBreak="0">
    <w:nsid w:val="6A8E1AAB"/>
    <w:multiLevelType w:val="multilevel"/>
    <w:tmpl w:val="A150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DBD379E"/>
    <w:multiLevelType w:val="multilevel"/>
    <w:tmpl w:val="D0AABB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E23140B"/>
    <w:multiLevelType w:val="multilevel"/>
    <w:tmpl w:val="4944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EED4A24"/>
    <w:multiLevelType w:val="multilevel"/>
    <w:tmpl w:val="145EA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FF149E0"/>
    <w:multiLevelType w:val="multilevel"/>
    <w:tmpl w:val="B7BAF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04438A2"/>
    <w:multiLevelType w:val="multilevel"/>
    <w:tmpl w:val="B982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0DC6770"/>
    <w:multiLevelType w:val="multilevel"/>
    <w:tmpl w:val="EEAE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12262F3"/>
    <w:multiLevelType w:val="multilevel"/>
    <w:tmpl w:val="B5CA74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3555FFE"/>
    <w:multiLevelType w:val="multilevel"/>
    <w:tmpl w:val="C0A6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4773C1D"/>
    <w:multiLevelType w:val="multilevel"/>
    <w:tmpl w:val="E362DA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6D81BC1"/>
    <w:multiLevelType w:val="multilevel"/>
    <w:tmpl w:val="0118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6DC239F"/>
    <w:multiLevelType w:val="multilevel"/>
    <w:tmpl w:val="A6C2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7606776"/>
    <w:multiLevelType w:val="hybridMultilevel"/>
    <w:tmpl w:val="32F0907E"/>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A060CA8"/>
    <w:multiLevelType w:val="multilevel"/>
    <w:tmpl w:val="66C4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B5A02A9"/>
    <w:multiLevelType w:val="hybridMultilevel"/>
    <w:tmpl w:val="7098F414"/>
    <w:lvl w:ilvl="0" w:tplc="AE6AA786">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7C8960CB"/>
    <w:multiLevelType w:val="multilevel"/>
    <w:tmpl w:val="3612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D03406E"/>
    <w:multiLevelType w:val="multilevel"/>
    <w:tmpl w:val="EF7E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013D40"/>
    <w:multiLevelType w:val="multilevel"/>
    <w:tmpl w:val="E512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F896F9A"/>
    <w:multiLevelType w:val="hybridMultilevel"/>
    <w:tmpl w:val="65305660"/>
    <w:lvl w:ilvl="0" w:tplc="9724E82E">
      <w:start w:val="1"/>
      <w:numFmt w:val="bullet"/>
      <w:pStyle w:val="BulletPunkt"/>
      <w:lvlText w:val=""/>
      <w:lvlJc w:val="left"/>
      <w:pPr>
        <w:tabs>
          <w:tab w:val="num" w:pos="1418"/>
        </w:tabs>
        <w:ind w:left="1418" w:hanging="62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65883244">
    <w:abstractNumId w:val="56"/>
  </w:num>
  <w:num w:numId="2" w16cid:durableId="1665546942">
    <w:abstractNumId w:val="113"/>
  </w:num>
  <w:num w:numId="3" w16cid:durableId="851840273">
    <w:abstractNumId w:val="29"/>
  </w:num>
  <w:num w:numId="4" w16cid:durableId="1457407470">
    <w:abstractNumId w:val="53"/>
  </w:num>
  <w:num w:numId="5" w16cid:durableId="1317490527">
    <w:abstractNumId w:val="23"/>
  </w:num>
  <w:num w:numId="6" w16cid:durableId="1470587111">
    <w:abstractNumId w:val="36"/>
  </w:num>
  <w:num w:numId="7" w16cid:durableId="587277710">
    <w:abstractNumId w:val="7"/>
  </w:num>
  <w:num w:numId="8" w16cid:durableId="1615944057">
    <w:abstractNumId w:val="6"/>
  </w:num>
  <w:num w:numId="9" w16cid:durableId="661859718">
    <w:abstractNumId w:val="5"/>
  </w:num>
  <w:num w:numId="10" w16cid:durableId="94638505">
    <w:abstractNumId w:val="4"/>
  </w:num>
  <w:num w:numId="11" w16cid:durableId="783571071">
    <w:abstractNumId w:val="8"/>
  </w:num>
  <w:num w:numId="12" w16cid:durableId="625425156">
    <w:abstractNumId w:val="3"/>
  </w:num>
  <w:num w:numId="13" w16cid:durableId="549805787">
    <w:abstractNumId w:val="2"/>
  </w:num>
  <w:num w:numId="14" w16cid:durableId="483009539">
    <w:abstractNumId w:val="1"/>
  </w:num>
  <w:num w:numId="15" w16cid:durableId="434712018">
    <w:abstractNumId w:val="0"/>
  </w:num>
  <w:num w:numId="16" w16cid:durableId="939601269">
    <w:abstractNumId w:val="87"/>
  </w:num>
  <w:num w:numId="17" w16cid:durableId="418143270">
    <w:abstractNumId w:val="44"/>
  </w:num>
  <w:num w:numId="18" w16cid:durableId="1834905201">
    <w:abstractNumId w:val="70"/>
  </w:num>
  <w:num w:numId="19" w16cid:durableId="514342786">
    <w:abstractNumId w:val="77"/>
  </w:num>
  <w:num w:numId="20" w16cid:durableId="1574118323">
    <w:abstractNumId w:val="84"/>
  </w:num>
  <w:num w:numId="21" w16cid:durableId="978612763">
    <w:abstractNumId w:val="50"/>
  </w:num>
  <w:num w:numId="22" w16cid:durableId="1765571100">
    <w:abstractNumId w:val="12"/>
  </w:num>
  <w:num w:numId="23" w16cid:durableId="95827446">
    <w:abstractNumId w:val="94"/>
  </w:num>
  <w:num w:numId="24" w16cid:durableId="963344739">
    <w:abstractNumId w:val="91"/>
  </w:num>
  <w:num w:numId="25" w16cid:durableId="574781055">
    <w:abstractNumId w:val="72"/>
  </w:num>
  <w:num w:numId="26" w16cid:durableId="1614944765">
    <w:abstractNumId w:val="66"/>
  </w:num>
  <w:num w:numId="27" w16cid:durableId="646982700">
    <w:abstractNumId w:val="60"/>
  </w:num>
  <w:num w:numId="28" w16cid:durableId="677192434">
    <w:abstractNumId w:val="59"/>
  </w:num>
  <w:num w:numId="29" w16cid:durableId="1373505416">
    <w:abstractNumId w:val="33"/>
  </w:num>
  <w:num w:numId="30" w16cid:durableId="1966038768">
    <w:abstractNumId w:val="19"/>
  </w:num>
  <w:num w:numId="31" w16cid:durableId="279604755">
    <w:abstractNumId w:val="98"/>
  </w:num>
  <w:num w:numId="32" w16cid:durableId="1946185964">
    <w:abstractNumId w:val="85"/>
  </w:num>
  <w:num w:numId="33" w16cid:durableId="1525249081">
    <w:abstractNumId w:val="45"/>
  </w:num>
  <w:num w:numId="34" w16cid:durableId="238444774">
    <w:abstractNumId w:val="39"/>
  </w:num>
  <w:num w:numId="35" w16cid:durableId="1269580085">
    <w:abstractNumId w:val="80"/>
  </w:num>
  <w:num w:numId="36" w16cid:durableId="2035881231">
    <w:abstractNumId w:val="11"/>
  </w:num>
  <w:num w:numId="37" w16cid:durableId="1714885049">
    <w:abstractNumId w:val="107"/>
  </w:num>
  <w:num w:numId="38" w16cid:durableId="211305144">
    <w:abstractNumId w:val="61"/>
  </w:num>
  <w:num w:numId="39" w16cid:durableId="720401728">
    <w:abstractNumId w:val="42"/>
  </w:num>
  <w:num w:numId="40" w16cid:durableId="475875403">
    <w:abstractNumId w:val="21"/>
  </w:num>
  <w:num w:numId="41" w16cid:durableId="598297755">
    <w:abstractNumId w:val="96"/>
  </w:num>
  <w:num w:numId="42" w16cid:durableId="1792047718">
    <w:abstractNumId w:val="106"/>
  </w:num>
  <w:num w:numId="43" w16cid:durableId="923996937">
    <w:abstractNumId w:val="108"/>
  </w:num>
  <w:num w:numId="44" w16cid:durableId="2092656903">
    <w:abstractNumId w:val="95"/>
  </w:num>
  <w:num w:numId="45" w16cid:durableId="27948242">
    <w:abstractNumId w:val="111"/>
  </w:num>
  <w:num w:numId="46" w16cid:durableId="1574969453">
    <w:abstractNumId w:val="97"/>
  </w:num>
  <w:num w:numId="47" w16cid:durableId="746223373">
    <w:abstractNumId w:val="76"/>
  </w:num>
  <w:num w:numId="48" w16cid:durableId="167208652">
    <w:abstractNumId w:val="101"/>
  </w:num>
  <w:num w:numId="49" w16cid:durableId="613289859">
    <w:abstractNumId w:val="88"/>
  </w:num>
  <w:num w:numId="50" w16cid:durableId="1607887309">
    <w:abstractNumId w:val="68"/>
  </w:num>
  <w:num w:numId="51" w16cid:durableId="1767532805">
    <w:abstractNumId w:val="25"/>
  </w:num>
  <w:num w:numId="52" w16cid:durableId="1240141512">
    <w:abstractNumId w:val="35"/>
  </w:num>
  <w:num w:numId="53" w16cid:durableId="1218011225">
    <w:abstractNumId w:val="83"/>
  </w:num>
  <w:num w:numId="54" w16cid:durableId="81535817">
    <w:abstractNumId w:val="93"/>
  </w:num>
  <w:num w:numId="55" w16cid:durableId="1143504387">
    <w:abstractNumId w:val="51"/>
  </w:num>
  <w:num w:numId="56" w16cid:durableId="1317492445">
    <w:abstractNumId w:val="13"/>
  </w:num>
  <w:num w:numId="57" w16cid:durableId="617832654">
    <w:abstractNumId w:val="22"/>
  </w:num>
  <w:num w:numId="58" w16cid:durableId="848835138">
    <w:abstractNumId w:val="14"/>
  </w:num>
  <w:num w:numId="59" w16cid:durableId="1259212199">
    <w:abstractNumId w:val="63"/>
  </w:num>
  <w:num w:numId="60" w16cid:durableId="1829131671">
    <w:abstractNumId w:val="100"/>
  </w:num>
  <w:num w:numId="61" w16cid:durableId="987251056">
    <w:abstractNumId w:val="79"/>
  </w:num>
  <w:num w:numId="62" w16cid:durableId="325593397">
    <w:abstractNumId w:val="28"/>
  </w:num>
  <w:num w:numId="63" w16cid:durableId="1342783202">
    <w:abstractNumId w:val="26"/>
  </w:num>
  <w:num w:numId="64" w16cid:durableId="396972760">
    <w:abstractNumId w:val="31"/>
  </w:num>
  <w:num w:numId="65" w16cid:durableId="1766147671">
    <w:abstractNumId w:val="110"/>
  </w:num>
  <w:num w:numId="66" w16cid:durableId="899831910">
    <w:abstractNumId w:val="69"/>
  </w:num>
  <w:num w:numId="67" w16cid:durableId="313682488">
    <w:abstractNumId w:val="105"/>
  </w:num>
  <w:num w:numId="68" w16cid:durableId="1044061624">
    <w:abstractNumId w:val="55"/>
  </w:num>
  <w:num w:numId="69" w16cid:durableId="980311634">
    <w:abstractNumId w:val="86"/>
  </w:num>
  <w:num w:numId="70" w16cid:durableId="1708794616">
    <w:abstractNumId w:val="54"/>
  </w:num>
  <w:num w:numId="71" w16cid:durableId="415979417">
    <w:abstractNumId w:val="75"/>
  </w:num>
  <w:num w:numId="72" w16cid:durableId="1990791813">
    <w:abstractNumId w:val="102"/>
  </w:num>
  <w:num w:numId="73" w16cid:durableId="1881431681">
    <w:abstractNumId w:val="109"/>
  </w:num>
  <w:num w:numId="74" w16cid:durableId="1443187974">
    <w:abstractNumId w:val="41"/>
  </w:num>
  <w:num w:numId="75" w16cid:durableId="1644966028">
    <w:abstractNumId w:val="40"/>
  </w:num>
  <w:num w:numId="76" w16cid:durableId="139427729">
    <w:abstractNumId w:val="38"/>
  </w:num>
  <w:num w:numId="77" w16cid:durableId="2065332853">
    <w:abstractNumId w:val="64"/>
  </w:num>
  <w:num w:numId="78" w16cid:durableId="340671113">
    <w:abstractNumId w:val="46"/>
  </w:num>
  <w:num w:numId="79" w16cid:durableId="55126235">
    <w:abstractNumId w:val="92"/>
  </w:num>
  <w:num w:numId="80" w16cid:durableId="1154298992">
    <w:abstractNumId w:val="16"/>
  </w:num>
  <w:num w:numId="81" w16cid:durableId="65416720">
    <w:abstractNumId w:val="90"/>
  </w:num>
  <w:num w:numId="82" w16cid:durableId="1606962047">
    <w:abstractNumId w:val="73"/>
  </w:num>
  <w:num w:numId="83" w16cid:durableId="1678771800">
    <w:abstractNumId w:val="10"/>
  </w:num>
  <w:num w:numId="84" w16cid:durableId="1426725782">
    <w:abstractNumId w:val="18"/>
  </w:num>
  <w:num w:numId="85" w16cid:durableId="591668170">
    <w:abstractNumId w:val="15"/>
  </w:num>
  <w:num w:numId="86" w16cid:durableId="1550989538">
    <w:abstractNumId w:val="57"/>
  </w:num>
  <w:num w:numId="87" w16cid:durableId="1129280510">
    <w:abstractNumId w:val="89"/>
  </w:num>
  <w:num w:numId="88" w16cid:durableId="712078042">
    <w:abstractNumId w:val="52"/>
  </w:num>
  <w:num w:numId="89" w16cid:durableId="1923181202">
    <w:abstractNumId w:val="99"/>
  </w:num>
  <w:num w:numId="90" w16cid:durableId="72437335">
    <w:abstractNumId w:val="62"/>
  </w:num>
  <w:num w:numId="91" w16cid:durableId="65274377">
    <w:abstractNumId w:val="48"/>
  </w:num>
  <w:num w:numId="92" w16cid:durableId="961811829">
    <w:abstractNumId w:val="71"/>
  </w:num>
  <w:num w:numId="93" w16cid:durableId="779223297">
    <w:abstractNumId w:val="104"/>
  </w:num>
  <w:num w:numId="94" w16cid:durableId="1043138788">
    <w:abstractNumId w:val="112"/>
  </w:num>
  <w:num w:numId="95" w16cid:durableId="1280527356">
    <w:abstractNumId w:val="49"/>
  </w:num>
  <w:num w:numId="96" w16cid:durableId="1993177260">
    <w:abstractNumId w:val="43"/>
  </w:num>
  <w:num w:numId="97" w16cid:durableId="1155996806">
    <w:abstractNumId w:val="30"/>
  </w:num>
  <w:num w:numId="98" w16cid:durableId="1620841108">
    <w:abstractNumId w:val="32"/>
  </w:num>
  <w:num w:numId="99" w16cid:durableId="289094975">
    <w:abstractNumId w:val="82"/>
  </w:num>
  <w:num w:numId="100" w16cid:durableId="211425109">
    <w:abstractNumId w:val="67"/>
  </w:num>
  <w:num w:numId="101" w16cid:durableId="561521005">
    <w:abstractNumId w:val="58"/>
  </w:num>
  <w:num w:numId="102" w16cid:durableId="420179862">
    <w:abstractNumId w:val="24"/>
  </w:num>
  <w:num w:numId="103" w16cid:durableId="2144233714">
    <w:abstractNumId w:val="17"/>
  </w:num>
  <w:num w:numId="104" w16cid:durableId="533272311">
    <w:abstractNumId w:val="81"/>
  </w:num>
  <w:num w:numId="105" w16cid:durableId="1107388909">
    <w:abstractNumId w:val="34"/>
  </w:num>
  <w:num w:numId="106" w16cid:durableId="1451243633">
    <w:abstractNumId w:val="74"/>
  </w:num>
  <w:num w:numId="107" w16cid:durableId="129827401">
    <w:abstractNumId w:val="37"/>
  </w:num>
  <w:num w:numId="108" w16cid:durableId="941955577">
    <w:abstractNumId w:val="78"/>
  </w:num>
  <w:num w:numId="109" w16cid:durableId="265425143">
    <w:abstractNumId w:val="65"/>
  </w:num>
  <w:num w:numId="110" w16cid:durableId="1508210838">
    <w:abstractNumId w:val="47"/>
  </w:num>
  <w:num w:numId="111" w16cid:durableId="333847505">
    <w:abstractNumId w:val="103"/>
  </w:num>
  <w:num w:numId="112" w16cid:durableId="79521453">
    <w:abstractNumId w:val="27"/>
  </w:num>
  <w:num w:numId="113" w16cid:durableId="542837801">
    <w:abstractNumId w:val="2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nis Monner">
    <w15:presenceInfo w15:providerId="AD" w15:userId="S::dennis@secucloudnetworkgmbh.onmicrosoft.com::0c2ca152-70c0-4c09-a28c-92546f1108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7A"/>
    <w:rsid w:val="000007EA"/>
    <w:rsid w:val="00004B40"/>
    <w:rsid w:val="00004B77"/>
    <w:rsid w:val="000054AD"/>
    <w:rsid w:val="00010CBD"/>
    <w:rsid w:val="00012115"/>
    <w:rsid w:val="000123F7"/>
    <w:rsid w:val="0001490D"/>
    <w:rsid w:val="000215E1"/>
    <w:rsid w:val="0002256F"/>
    <w:rsid w:val="00023824"/>
    <w:rsid w:val="00036B31"/>
    <w:rsid w:val="00041495"/>
    <w:rsid w:val="00042B24"/>
    <w:rsid w:val="00043442"/>
    <w:rsid w:val="000444EA"/>
    <w:rsid w:val="00055B09"/>
    <w:rsid w:val="00067272"/>
    <w:rsid w:val="00067D60"/>
    <w:rsid w:val="0008372F"/>
    <w:rsid w:val="0009650D"/>
    <w:rsid w:val="00097DB2"/>
    <w:rsid w:val="000B0282"/>
    <w:rsid w:val="000B239A"/>
    <w:rsid w:val="000B2C87"/>
    <w:rsid w:val="000C254A"/>
    <w:rsid w:val="000C6104"/>
    <w:rsid w:val="000D2C61"/>
    <w:rsid w:val="000D2E29"/>
    <w:rsid w:val="000D41D1"/>
    <w:rsid w:val="000D6988"/>
    <w:rsid w:val="000E23C4"/>
    <w:rsid w:val="000E2E8E"/>
    <w:rsid w:val="000E3F25"/>
    <w:rsid w:val="000F1793"/>
    <w:rsid w:val="000F28AD"/>
    <w:rsid w:val="001008F4"/>
    <w:rsid w:val="00101450"/>
    <w:rsid w:val="00103CCA"/>
    <w:rsid w:val="001070E8"/>
    <w:rsid w:val="001073C5"/>
    <w:rsid w:val="00113687"/>
    <w:rsid w:val="0011729F"/>
    <w:rsid w:val="001304CF"/>
    <w:rsid w:val="00133D2F"/>
    <w:rsid w:val="00133EF4"/>
    <w:rsid w:val="001360BC"/>
    <w:rsid w:val="00145EED"/>
    <w:rsid w:val="00150550"/>
    <w:rsid w:val="00151F52"/>
    <w:rsid w:val="0015716D"/>
    <w:rsid w:val="00157515"/>
    <w:rsid w:val="0016520F"/>
    <w:rsid w:val="001670BA"/>
    <w:rsid w:val="00167E4F"/>
    <w:rsid w:val="001724CA"/>
    <w:rsid w:val="00182573"/>
    <w:rsid w:val="001835F7"/>
    <w:rsid w:val="00185124"/>
    <w:rsid w:val="00185DF6"/>
    <w:rsid w:val="001861E4"/>
    <w:rsid w:val="0019042E"/>
    <w:rsid w:val="00194ABA"/>
    <w:rsid w:val="00195C2D"/>
    <w:rsid w:val="001A1BCD"/>
    <w:rsid w:val="001A2489"/>
    <w:rsid w:val="001A4CE7"/>
    <w:rsid w:val="001A59CF"/>
    <w:rsid w:val="001A7BA5"/>
    <w:rsid w:val="001B2BC3"/>
    <w:rsid w:val="001B509A"/>
    <w:rsid w:val="001C3922"/>
    <w:rsid w:val="001D12A3"/>
    <w:rsid w:val="001D13B7"/>
    <w:rsid w:val="001D235E"/>
    <w:rsid w:val="001D2CBD"/>
    <w:rsid w:val="001D2D2B"/>
    <w:rsid w:val="001D348E"/>
    <w:rsid w:val="001D3A54"/>
    <w:rsid w:val="001E51FD"/>
    <w:rsid w:val="001F3352"/>
    <w:rsid w:val="001F463B"/>
    <w:rsid w:val="001F56B7"/>
    <w:rsid w:val="001F5D05"/>
    <w:rsid w:val="001F6717"/>
    <w:rsid w:val="001F69D0"/>
    <w:rsid w:val="00200F98"/>
    <w:rsid w:val="0021175D"/>
    <w:rsid w:val="0021329E"/>
    <w:rsid w:val="0021617A"/>
    <w:rsid w:val="00224EFA"/>
    <w:rsid w:val="00230097"/>
    <w:rsid w:val="00233422"/>
    <w:rsid w:val="0023750F"/>
    <w:rsid w:val="00242A85"/>
    <w:rsid w:val="0025238D"/>
    <w:rsid w:val="00252817"/>
    <w:rsid w:val="00253757"/>
    <w:rsid w:val="00260C40"/>
    <w:rsid w:val="00263742"/>
    <w:rsid w:val="002710EE"/>
    <w:rsid w:val="00273BB2"/>
    <w:rsid w:val="00275BFD"/>
    <w:rsid w:val="00276265"/>
    <w:rsid w:val="002903AB"/>
    <w:rsid w:val="002A1CC9"/>
    <w:rsid w:val="002A2455"/>
    <w:rsid w:val="002A2EC3"/>
    <w:rsid w:val="002A3E9D"/>
    <w:rsid w:val="002B1B87"/>
    <w:rsid w:val="002B498A"/>
    <w:rsid w:val="002B49A9"/>
    <w:rsid w:val="002B7971"/>
    <w:rsid w:val="002C21CE"/>
    <w:rsid w:val="002D3001"/>
    <w:rsid w:val="002D452F"/>
    <w:rsid w:val="002D6E13"/>
    <w:rsid w:val="002E2530"/>
    <w:rsid w:val="002E2DDF"/>
    <w:rsid w:val="002E3690"/>
    <w:rsid w:val="002E4D67"/>
    <w:rsid w:val="002E781A"/>
    <w:rsid w:val="002F0CCB"/>
    <w:rsid w:val="002F44AE"/>
    <w:rsid w:val="002F7B4D"/>
    <w:rsid w:val="00304189"/>
    <w:rsid w:val="00304928"/>
    <w:rsid w:val="00312929"/>
    <w:rsid w:val="003163AB"/>
    <w:rsid w:val="00332023"/>
    <w:rsid w:val="00332978"/>
    <w:rsid w:val="0033496D"/>
    <w:rsid w:val="00334EBC"/>
    <w:rsid w:val="00335B87"/>
    <w:rsid w:val="0033698A"/>
    <w:rsid w:val="0033778C"/>
    <w:rsid w:val="00342D0A"/>
    <w:rsid w:val="00344692"/>
    <w:rsid w:val="00346403"/>
    <w:rsid w:val="00350591"/>
    <w:rsid w:val="00353B2A"/>
    <w:rsid w:val="00353EBE"/>
    <w:rsid w:val="00355A01"/>
    <w:rsid w:val="00365BD6"/>
    <w:rsid w:val="00366E7E"/>
    <w:rsid w:val="00372F12"/>
    <w:rsid w:val="00374E73"/>
    <w:rsid w:val="00380724"/>
    <w:rsid w:val="003851E2"/>
    <w:rsid w:val="00387687"/>
    <w:rsid w:val="00393760"/>
    <w:rsid w:val="003A0EEC"/>
    <w:rsid w:val="003A553D"/>
    <w:rsid w:val="003A69DD"/>
    <w:rsid w:val="003B33F8"/>
    <w:rsid w:val="003C729A"/>
    <w:rsid w:val="003C7D42"/>
    <w:rsid w:val="003C7DD3"/>
    <w:rsid w:val="003D4125"/>
    <w:rsid w:val="003D53B4"/>
    <w:rsid w:val="003D5A1F"/>
    <w:rsid w:val="003D624B"/>
    <w:rsid w:val="003D6E61"/>
    <w:rsid w:val="003D76C7"/>
    <w:rsid w:val="003E005F"/>
    <w:rsid w:val="003E14C1"/>
    <w:rsid w:val="003E1F45"/>
    <w:rsid w:val="003E519C"/>
    <w:rsid w:val="003F0652"/>
    <w:rsid w:val="003F2DE2"/>
    <w:rsid w:val="003F439C"/>
    <w:rsid w:val="00405A60"/>
    <w:rsid w:val="004133BA"/>
    <w:rsid w:val="00420EE5"/>
    <w:rsid w:val="00422767"/>
    <w:rsid w:val="004346F9"/>
    <w:rsid w:val="004458E3"/>
    <w:rsid w:val="00445C28"/>
    <w:rsid w:val="004463AC"/>
    <w:rsid w:val="00447029"/>
    <w:rsid w:val="00453C27"/>
    <w:rsid w:val="00454B5B"/>
    <w:rsid w:val="004551EB"/>
    <w:rsid w:val="00457AF5"/>
    <w:rsid w:val="00460F54"/>
    <w:rsid w:val="004620B0"/>
    <w:rsid w:val="0046232E"/>
    <w:rsid w:val="004629F2"/>
    <w:rsid w:val="004707B6"/>
    <w:rsid w:val="004729B5"/>
    <w:rsid w:val="0047320C"/>
    <w:rsid w:val="004855B8"/>
    <w:rsid w:val="00487F0A"/>
    <w:rsid w:val="00487F92"/>
    <w:rsid w:val="004A3B42"/>
    <w:rsid w:val="004A621A"/>
    <w:rsid w:val="004A6EA5"/>
    <w:rsid w:val="004B09D6"/>
    <w:rsid w:val="004B184C"/>
    <w:rsid w:val="004B409C"/>
    <w:rsid w:val="004B5D7E"/>
    <w:rsid w:val="004B758A"/>
    <w:rsid w:val="004B778E"/>
    <w:rsid w:val="004C1032"/>
    <w:rsid w:val="004C289A"/>
    <w:rsid w:val="004D1B90"/>
    <w:rsid w:val="004D2644"/>
    <w:rsid w:val="004D7811"/>
    <w:rsid w:val="004E1A63"/>
    <w:rsid w:val="004E1EDB"/>
    <w:rsid w:val="004E5374"/>
    <w:rsid w:val="004E7D42"/>
    <w:rsid w:val="004F2A62"/>
    <w:rsid w:val="004F2D42"/>
    <w:rsid w:val="004F2F45"/>
    <w:rsid w:val="004F318D"/>
    <w:rsid w:val="004F3798"/>
    <w:rsid w:val="004F3859"/>
    <w:rsid w:val="004F55E2"/>
    <w:rsid w:val="00504AC7"/>
    <w:rsid w:val="00513997"/>
    <w:rsid w:val="00514163"/>
    <w:rsid w:val="00515FC7"/>
    <w:rsid w:val="00516E83"/>
    <w:rsid w:val="00523205"/>
    <w:rsid w:val="005347BE"/>
    <w:rsid w:val="00544DFD"/>
    <w:rsid w:val="0055210B"/>
    <w:rsid w:val="0055577E"/>
    <w:rsid w:val="00566430"/>
    <w:rsid w:val="00570B74"/>
    <w:rsid w:val="005749EA"/>
    <w:rsid w:val="005777D0"/>
    <w:rsid w:val="00577EDE"/>
    <w:rsid w:val="00580E9D"/>
    <w:rsid w:val="00584715"/>
    <w:rsid w:val="0058762A"/>
    <w:rsid w:val="00595EC8"/>
    <w:rsid w:val="005A2D4F"/>
    <w:rsid w:val="005A565F"/>
    <w:rsid w:val="005A5721"/>
    <w:rsid w:val="005B12A0"/>
    <w:rsid w:val="005B5215"/>
    <w:rsid w:val="005B75A9"/>
    <w:rsid w:val="005C0BFF"/>
    <w:rsid w:val="005C12B6"/>
    <w:rsid w:val="005D236F"/>
    <w:rsid w:val="005D337A"/>
    <w:rsid w:val="005D3390"/>
    <w:rsid w:val="005E4B6B"/>
    <w:rsid w:val="005F0C94"/>
    <w:rsid w:val="005F3BA8"/>
    <w:rsid w:val="005F61FB"/>
    <w:rsid w:val="00603097"/>
    <w:rsid w:val="006132A0"/>
    <w:rsid w:val="0062193B"/>
    <w:rsid w:val="006252EC"/>
    <w:rsid w:val="00627149"/>
    <w:rsid w:val="0064273F"/>
    <w:rsid w:val="006464F0"/>
    <w:rsid w:val="00647C8E"/>
    <w:rsid w:val="006520E0"/>
    <w:rsid w:val="00654C03"/>
    <w:rsid w:val="00660F8A"/>
    <w:rsid w:val="00665420"/>
    <w:rsid w:val="006676E3"/>
    <w:rsid w:val="00671001"/>
    <w:rsid w:val="00676844"/>
    <w:rsid w:val="006773B2"/>
    <w:rsid w:val="00684FCE"/>
    <w:rsid w:val="00696F75"/>
    <w:rsid w:val="006A179F"/>
    <w:rsid w:val="006A2249"/>
    <w:rsid w:val="006A4208"/>
    <w:rsid w:val="006B6A04"/>
    <w:rsid w:val="006C4C45"/>
    <w:rsid w:val="006D6FED"/>
    <w:rsid w:val="006D72EB"/>
    <w:rsid w:val="006E2B1A"/>
    <w:rsid w:val="006E2CAD"/>
    <w:rsid w:val="006E53DC"/>
    <w:rsid w:val="006E5BC9"/>
    <w:rsid w:val="006E5CE0"/>
    <w:rsid w:val="006F26C4"/>
    <w:rsid w:val="00700AE5"/>
    <w:rsid w:val="00700B96"/>
    <w:rsid w:val="0070171F"/>
    <w:rsid w:val="00707620"/>
    <w:rsid w:val="007120F8"/>
    <w:rsid w:val="007345B8"/>
    <w:rsid w:val="00736D8B"/>
    <w:rsid w:val="0074559E"/>
    <w:rsid w:val="00760542"/>
    <w:rsid w:val="007608F5"/>
    <w:rsid w:val="00766536"/>
    <w:rsid w:val="00771D65"/>
    <w:rsid w:val="0077494A"/>
    <w:rsid w:val="00776455"/>
    <w:rsid w:val="00786969"/>
    <w:rsid w:val="00786C90"/>
    <w:rsid w:val="00787332"/>
    <w:rsid w:val="0079118C"/>
    <w:rsid w:val="007A14E4"/>
    <w:rsid w:val="007A5829"/>
    <w:rsid w:val="007A59BF"/>
    <w:rsid w:val="007B67BA"/>
    <w:rsid w:val="007B70EE"/>
    <w:rsid w:val="007C21FB"/>
    <w:rsid w:val="007C484C"/>
    <w:rsid w:val="007C5875"/>
    <w:rsid w:val="007D1CBC"/>
    <w:rsid w:val="007D5D6A"/>
    <w:rsid w:val="007D75EC"/>
    <w:rsid w:val="007D7BDE"/>
    <w:rsid w:val="007F0824"/>
    <w:rsid w:val="007F3D8D"/>
    <w:rsid w:val="007F606C"/>
    <w:rsid w:val="007F6DC2"/>
    <w:rsid w:val="00806538"/>
    <w:rsid w:val="00813837"/>
    <w:rsid w:val="00814D5E"/>
    <w:rsid w:val="008238D0"/>
    <w:rsid w:val="00825B60"/>
    <w:rsid w:val="008362DD"/>
    <w:rsid w:val="00836766"/>
    <w:rsid w:val="00842090"/>
    <w:rsid w:val="00846601"/>
    <w:rsid w:val="00846C6D"/>
    <w:rsid w:val="008541D6"/>
    <w:rsid w:val="00854882"/>
    <w:rsid w:val="0085700B"/>
    <w:rsid w:val="008623D1"/>
    <w:rsid w:val="008639D3"/>
    <w:rsid w:val="008654B5"/>
    <w:rsid w:val="0086628B"/>
    <w:rsid w:val="00866EE5"/>
    <w:rsid w:val="00874F9D"/>
    <w:rsid w:val="00881B78"/>
    <w:rsid w:val="00897E20"/>
    <w:rsid w:val="008A1899"/>
    <w:rsid w:val="008A7EDF"/>
    <w:rsid w:val="008B6B7B"/>
    <w:rsid w:val="008B72B6"/>
    <w:rsid w:val="008C2FCF"/>
    <w:rsid w:val="008D099C"/>
    <w:rsid w:val="008D5F26"/>
    <w:rsid w:val="008D6886"/>
    <w:rsid w:val="008E062E"/>
    <w:rsid w:val="008E65CC"/>
    <w:rsid w:val="008F5C36"/>
    <w:rsid w:val="00902055"/>
    <w:rsid w:val="009037A3"/>
    <w:rsid w:val="00904E46"/>
    <w:rsid w:val="009061CA"/>
    <w:rsid w:val="009153D7"/>
    <w:rsid w:val="009156E8"/>
    <w:rsid w:val="009253A5"/>
    <w:rsid w:val="009339EF"/>
    <w:rsid w:val="0093440C"/>
    <w:rsid w:val="009344E9"/>
    <w:rsid w:val="009372ED"/>
    <w:rsid w:val="0094044C"/>
    <w:rsid w:val="00942DFC"/>
    <w:rsid w:val="00947E6B"/>
    <w:rsid w:val="00951612"/>
    <w:rsid w:val="009521E8"/>
    <w:rsid w:val="009607AD"/>
    <w:rsid w:val="00961BD8"/>
    <w:rsid w:val="00965EE5"/>
    <w:rsid w:val="00967BAA"/>
    <w:rsid w:val="00976079"/>
    <w:rsid w:val="00976EA9"/>
    <w:rsid w:val="009770E0"/>
    <w:rsid w:val="00977F7E"/>
    <w:rsid w:val="00980235"/>
    <w:rsid w:val="009816AA"/>
    <w:rsid w:val="00994A09"/>
    <w:rsid w:val="00997F53"/>
    <w:rsid w:val="009A352D"/>
    <w:rsid w:val="009A6114"/>
    <w:rsid w:val="009A7F1E"/>
    <w:rsid w:val="009C05B8"/>
    <w:rsid w:val="009C0F42"/>
    <w:rsid w:val="009C1E86"/>
    <w:rsid w:val="009C1FC4"/>
    <w:rsid w:val="009C2FDD"/>
    <w:rsid w:val="009C524C"/>
    <w:rsid w:val="009D2873"/>
    <w:rsid w:val="009D4C48"/>
    <w:rsid w:val="009D5832"/>
    <w:rsid w:val="009E0D2D"/>
    <w:rsid w:val="009E72DF"/>
    <w:rsid w:val="009F0921"/>
    <w:rsid w:val="009F5C79"/>
    <w:rsid w:val="00A02B47"/>
    <w:rsid w:val="00A037FB"/>
    <w:rsid w:val="00A04916"/>
    <w:rsid w:val="00A0698C"/>
    <w:rsid w:val="00A10E57"/>
    <w:rsid w:val="00A11460"/>
    <w:rsid w:val="00A121E5"/>
    <w:rsid w:val="00A12A7C"/>
    <w:rsid w:val="00A13344"/>
    <w:rsid w:val="00A14079"/>
    <w:rsid w:val="00A149F8"/>
    <w:rsid w:val="00A157CA"/>
    <w:rsid w:val="00A234BB"/>
    <w:rsid w:val="00A2393D"/>
    <w:rsid w:val="00A2569A"/>
    <w:rsid w:val="00A258EE"/>
    <w:rsid w:val="00A313E2"/>
    <w:rsid w:val="00A316E0"/>
    <w:rsid w:val="00A32642"/>
    <w:rsid w:val="00A35B39"/>
    <w:rsid w:val="00A40417"/>
    <w:rsid w:val="00A4135E"/>
    <w:rsid w:val="00A47F9A"/>
    <w:rsid w:val="00A61482"/>
    <w:rsid w:val="00A64D3B"/>
    <w:rsid w:val="00A64EE8"/>
    <w:rsid w:val="00A67B74"/>
    <w:rsid w:val="00A704BC"/>
    <w:rsid w:val="00A82EA8"/>
    <w:rsid w:val="00A83850"/>
    <w:rsid w:val="00AA2A6B"/>
    <w:rsid w:val="00AA626B"/>
    <w:rsid w:val="00AB4B64"/>
    <w:rsid w:val="00AB6741"/>
    <w:rsid w:val="00AC29EC"/>
    <w:rsid w:val="00AC4E44"/>
    <w:rsid w:val="00AC6031"/>
    <w:rsid w:val="00AD2383"/>
    <w:rsid w:val="00AD49F0"/>
    <w:rsid w:val="00AD65D1"/>
    <w:rsid w:val="00AF759B"/>
    <w:rsid w:val="00B07C7E"/>
    <w:rsid w:val="00B115C4"/>
    <w:rsid w:val="00B14757"/>
    <w:rsid w:val="00B237E8"/>
    <w:rsid w:val="00B254C1"/>
    <w:rsid w:val="00B314E5"/>
    <w:rsid w:val="00B41E48"/>
    <w:rsid w:val="00B55944"/>
    <w:rsid w:val="00B605C9"/>
    <w:rsid w:val="00B627BA"/>
    <w:rsid w:val="00B62BDF"/>
    <w:rsid w:val="00B75345"/>
    <w:rsid w:val="00B768FE"/>
    <w:rsid w:val="00B80E30"/>
    <w:rsid w:val="00B816FA"/>
    <w:rsid w:val="00B82425"/>
    <w:rsid w:val="00B87AC3"/>
    <w:rsid w:val="00B90A5D"/>
    <w:rsid w:val="00B93DC3"/>
    <w:rsid w:val="00B93F03"/>
    <w:rsid w:val="00B95684"/>
    <w:rsid w:val="00B96F01"/>
    <w:rsid w:val="00B97809"/>
    <w:rsid w:val="00BA39ED"/>
    <w:rsid w:val="00BA6539"/>
    <w:rsid w:val="00BB2093"/>
    <w:rsid w:val="00BB2E8D"/>
    <w:rsid w:val="00BC1AC1"/>
    <w:rsid w:val="00BC1B8C"/>
    <w:rsid w:val="00BC265D"/>
    <w:rsid w:val="00BD40A8"/>
    <w:rsid w:val="00BD4270"/>
    <w:rsid w:val="00BD596C"/>
    <w:rsid w:val="00BE647D"/>
    <w:rsid w:val="00BE69E8"/>
    <w:rsid w:val="00BF0BE4"/>
    <w:rsid w:val="00BF0C52"/>
    <w:rsid w:val="00BF0F56"/>
    <w:rsid w:val="00BF56B6"/>
    <w:rsid w:val="00C010BF"/>
    <w:rsid w:val="00C02141"/>
    <w:rsid w:val="00C02898"/>
    <w:rsid w:val="00C0406C"/>
    <w:rsid w:val="00C10AA2"/>
    <w:rsid w:val="00C12671"/>
    <w:rsid w:val="00C146FF"/>
    <w:rsid w:val="00C233BA"/>
    <w:rsid w:val="00C3033D"/>
    <w:rsid w:val="00C37D00"/>
    <w:rsid w:val="00C45AC5"/>
    <w:rsid w:val="00C46159"/>
    <w:rsid w:val="00C47CAF"/>
    <w:rsid w:val="00C607E5"/>
    <w:rsid w:val="00C62FB0"/>
    <w:rsid w:val="00C67392"/>
    <w:rsid w:val="00C74351"/>
    <w:rsid w:val="00C74F32"/>
    <w:rsid w:val="00C76C96"/>
    <w:rsid w:val="00C84406"/>
    <w:rsid w:val="00C86F3C"/>
    <w:rsid w:val="00C87564"/>
    <w:rsid w:val="00C90832"/>
    <w:rsid w:val="00C92B1D"/>
    <w:rsid w:val="00C93159"/>
    <w:rsid w:val="00C934E6"/>
    <w:rsid w:val="00C936DC"/>
    <w:rsid w:val="00C948FE"/>
    <w:rsid w:val="00C94E31"/>
    <w:rsid w:val="00CA2AB0"/>
    <w:rsid w:val="00CA3704"/>
    <w:rsid w:val="00CB096D"/>
    <w:rsid w:val="00CB42A0"/>
    <w:rsid w:val="00CC2601"/>
    <w:rsid w:val="00CE7AA2"/>
    <w:rsid w:val="00CF2362"/>
    <w:rsid w:val="00CF3CFE"/>
    <w:rsid w:val="00CF4169"/>
    <w:rsid w:val="00CF4634"/>
    <w:rsid w:val="00CF5859"/>
    <w:rsid w:val="00CF750F"/>
    <w:rsid w:val="00CF79A3"/>
    <w:rsid w:val="00D0366F"/>
    <w:rsid w:val="00D03D3E"/>
    <w:rsid w:val="00D0513E"/>
    <w:rsid w:val="00D05F9A"/>
    <w:rsid w:val="00D11F13"/>
    <w:rsid w:val="00D11FBB"/>
    <w:rsid w:val="00D16F20"/>
    <w:rsid w:val="00D2072C"/>
    <w:rsid w:val="00D21D92"/>
    <w:rsid w:val="00D34E86"/>
    <w:rsid w:val="00D372C7"/>
    <w:rsid w:val="00D40E0D"/>
    <w:rsid w:val="00D436D2"/>
    <w:rsid w:val="00D4373F"/>
    <w:rsid w:val="00D56308"/>
    <w:rsid w:val="00D57F6B"/>
    <w:rsid w:val="00D63F18"/>
    <w:rsid w:val="00D64480"/>
    <w:rsid w:val="00D6609B"/>
    <w:rsid w:val="00D6781C"/>
    <w:rsid w:val="00D7019E"/>
    <w:rsid w:val="00D82AEF"/>
    <w:rsid w:val="00D84364"/>
    <w:rsid w:val="00D85D8B"/>
    <w:rsid w:val="00D86E06"/>
    <w:rsid w:val="00D91CBF"/>
    <w:rsid w:val="00DA6527"/>
    <w:rsid w:val="00DB0E8E"/>
    <w:rsid w:val="00DB6651"/>
    <w:rsid w:val="00DB73F3"/>
    <w:rsid w:val="00DC5B87"/>
    <w:rsid w:val="00DC6FEA"/>
    <w:rsid w:val="00DC7A4C"/>
    <w:rsid w:val="00DD3B5F"/>
    <w:rsid w:val="00DD6821"/>
    <w:rsid w:val="00DD7ACB"/>
    <w:rsid w:val="00DE3AA0"/>
    <w:rsid w:val="00DE73F1"/>
    <w:rsid w:val="00DF0507"/>
    <w:rsid w:val="00DF1861"/>
    <w:rsid w:val="00E0069E"/>
    <w:rsid w:val="00E00A28"/>
    <w:rsid w:val="00E03612"/>
    <w:rsid w:val="00E03AEE"/>
    <w:rsid w:val="00E107A3"/>
    <w:rsid w:val="00E107C8"/>
    <w:rsid w:val="00E1131C"/>
    <w:rsid w:val="00E1157A"/>
    <w:rsid w:val="00E12351"/>
    <w:rsid w:val="00E15056"/>
    <w:rsid w:val="00E15663"/>
    <w:rsid w:val="00E2094A"/>
    <w:rsid w:val="00E22171"/>
    <w:rsid w:val="00E26649"/>
    <w:rsid w:val="00E419D5"/>
    <w:rsid w:val="00E444C4"/>
    <w:rsid w:val="00E47CF1"/>
    <w:rsid w:val="00E63540"/>
    <w:rsid w:val="00E63580"/>
    <w:rsid w:val="00E651A1"/>
    <w:rsid w:val="00E67272"/>
    <w:rsid w:val="00E700B0"/>
    <w:rsid w:val="00E72738"/>
    <w:rsid w:val="00E80CC6"/>
    <w:rsid w:val="00E83449"/>
    <w:rsid w:val="00E85D47"/>
    <w:rsid w:val="00E874FB"/>
    <w:rsid w:val="00E87701"/>
    <w:rsid w:val="00E91949"/>
    <w:rsid w:val="00E93C45"/>
    <w:rsid w:val="00E946C5"/>
    <w:rsid w:val="00E96031"/>
    <w:rsid w:val="00EA065E"/>
    <w:rsid w:val="00EA0756"/>
    <w:rsid w:val="00EB0961"/>
    <w:rsid w:val="00EB0F37"/>
    <w:rsid w:val="00EB7E0C"/>
    <w:rsid w:val="00EC1CDC"/>
    <w:rsid w:val="00EC5811"/>
    <w:rsid w:val="00ED3D6F"/>
    <w:rsid w:val="00ED5549"/>
    <w:rsid w:val="00ED58BA"/>
    <w:rsid w:val="00ED63C8"/>
    <w:rsid w:val="00EE18D9"/>
    <w:rsid w:val="00EE7231"/>
    <w:rsid w:val="00F02BBB"/>
    <w:rsid w:val="00F049EA"/>
    <w:rsid w:val="00F074A1"/>
    <w:rsid w:val="00F15EBA"/>
    <w:rsid w:val="00F22482"/>
    <w:rsid w:val="00F315F8"/>
    <w:rsid w:val="00F37809"/>
    <w:rsid w:val="00F40D44"/>
    <w:rsid w:val="00F46EE6"/>
    <w:rsid w:val="00F528A5"/>
    <w:rsid w:val="00F53241"/>
    <w:rsid w:val="00F550E1"/>
    <w:rsid w:val="00F61A5C"/>
    <w:rsid w:val="00F671EC"/>
    <w:rsid w:val="00F7055D"/>
    <w:rsid w:val="00F73132"/>
    <w:rsid w:val="00F73831"/>
    <w:rsid w:val="00F82A39"/>
    <w:rsid w:val="00F82CBF"/>
    <w:rsid w:val="00F82D7F"/>
    <w:rsid w:val="00F82E2F"/>
    <w:rsid w:val="00F94A12"/>
    <w:rsid w:val="00F95D5C"/>
    <w:rsid w:val="00F9740A"/>
    <w:rsid w:val="00F97FF8"/>
    <w:rsid w:val="00FA7B00"/>
    <w:rsid w:val="00FB0709"/>
    <w:rsid w:val="00FC15FC"/>
    <w:rsid w:val="00FC1EDB"/>
    <w:rsid w:val="00FC3F66"/>
    <w:rsid w:val="00FC5965"/>
    <w:rsid w:val="00FD7B9C"/>
    <w:rsid w:val="00FE343C"/>
    <w:rsid w:val="00FF16F0"/>
    <w:rsid w:val="00FF656F"/>
    <w:rsid w:val="00FF7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25C5E"/>
  <w15:docId w15:val="{269FE859-4D5C-4D4F-BD37-ACE27D12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5" w:unhideWhenUsed="1"/>
    <w:lsdException w:name="header" w:semiHidden="1" w:unhideWhenUsed="1"/>
    <w:lsdException w:name="footer" w:semiHidden="1" w:uiPriority="3"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99" w:qFormat="1"/>
    <w:lsdException w:name="Quote" w:semiHidden="1" w:uiPriority="99" w:qFormat="1"/>
    <w:lsdException w:name="Intense Quote" w:semiHidden="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qFormat="1"/>
    <w:lsdException w:name="Intense Emphasis" w:semiHidden="1" w:uiPriority="99" w:qFormat="1"/>
    <w:lsdException w:name="Subtle Reference" w:semiHidden="1" w:uiPriority="99" w:qFormat="1"/>
    <w:lsdException w:name="Intense Reference" w:semiHidden="1" w:uiPriority="99" w:qFormat="1"/>
    <w:lsdException w:name="Book Title" w:semiHidden="1" w:uiPriority="99"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5"/>
    <w:qFormat/>
    <w:rsid w:val="001835F7"/>
    <w:pPr>
      <w:overflowPunct w:val="0"/>
      <w:autoSpaceDE w:val="0"/>
      <w:autoSpaceDN w:val="0"/>
      <w:adjustRightInd w:val="0"/>
      <w:spacing w:before="120" w:after="120" w:line="320" w:lineRule="atLeast"/>
      <w:jc w:val="both"/>
      <w:textAlignment w:val="baseline"/>
    </w:pPr>
    <w:rPr>
      <w:lang w:val="de-DE"/>
    </w:rPr>
  </w:style>
  <w:style w:type="paragraph" w:styleId="berschrift1">
    <w:name w:val="heading 1"/>
    <w:basedOn w:val="Textkrper"/>
    <w:next w:val="Textkrper"/>
    <w:link w:val="berschrift1Zchn"/>
    <w:qFormat/>
    <w:rsid w:val="004620B0"/>
    <w:pPr>
      <w:keepNext/>
      <w:keepLines/>
      <w:numPr>
        <w:numId w:val="5"/>
      </w:numPr>
      <w:suppressLineNumbers/>
      <w:overflowPunct/>
      <w:autoSpaceDE/>
      <w:autoSpaceDN/>
      <w:adjustRightInd/>
      <w:jc w:val="left"/>
      <w:textAlignment w:val="auto"/>
      <w:outlineLvl w:val="0"/>
    </w:pPr>
    <w:rPr>
      <w:rFonts w:eastAsia="Times New Roman" w:cs="Arial"/>
      <w:b/>
      <w:bCs/>
      <w:szCs w:val="32"/>
      <w:lang w:eastAsia="de-DE"/>
    </w:rPr>
  </w:style>
  <w:style w:type="paragraph" w:styleId="berschrift2">
    <w:name w:val="heading 2"/>
    <w:basedOn w:val="Textkrper"/>
    <w:next w:val="Textkrper"/>
    <w:link w:val="berschrift2Zchn"/>
    <w:qFormat/>
    <w:rsid w:val="001835F7"/>
    <w:pPr>
      <w:keepNext/>
      <w:keepLines/>
      <w:numPr>
        <w:ilvl w:val="1"/>
        <w:numId w:val="5"/>
      </w:numPr>
      <w:suppressLineNumbers/>
      <w:overflowPunct/>
      <w:autoSpaceDE/>
      <w:autoSpaceDN/>
      <w:adjustRightInd/>
      <w:spacing w:before="360"/>
      <w:jc w:val="left"/>
      <w:textAlignment w:val="auto"/>
      <w:outlineLvl w:val="1"/>
    </w:pPr>
    <w:rPr>
      <w:rFonts w:ascii="Arial" w:eastAsia="Times New Roman" w:hAnsi="Arial" w:cs="Times New Roman"/>
      <w:b/>
      <w:bCs/>
      <w:iCs/>
      <w:szCs w:val="28"/>
      <w:lang w:eastAsia="de-DE"/>
    </w:rPr>
  </w:style>
  <w:style w:type="paragraph" w:styleId="berschrift3">
    <w:name w:val="heading 3"/>
    <w:basedOn w:val="Textkrper"/>
    <w:next w:val="Textkrper"/>
    <w:link w:val="berschrift3Zchn"/>
    <w:qFormat/>
    <w:rsid w:val="001835F7"/>
    <w:pPr>
      <w:keepNext/>
      <w:keepLines/>
      <w:numPr>
        <w:ilvl w:val="2"/>
        <w:numId w:val="5"/>
      </w:numPr>
      <w:suppressLineNumbers/>
      <w:overflowPunct/>
      <w:autoSpaceDE/>
      <w:autoSpaceDN/>
      <w:adjustRightInd/>
      <w:spacing w:before="360"/>
      <w:jc w:val="left"/>
      <w:textAlignment w:val="auto"/>
      <w:outlineLvl w:val="2"/>
    </w:pPr>
    <w:rPr>
      <w:rFonts w:ascii="Arial" w:eastAsia="Times New Roman" w:hAnsi="Arial" w:cs="Arial"/>
      <w:bCs/>
      <w:szCs w:val="26"/>
      <w:lang w:eastAsia="de-DE"/>
    </w:rPr>
  </w:style>
  <w:style w:type="paragraph" w:styleId="berschrift4">
    <w:name w:val="heading 4"/>
    <w:basedOn w:val="Textkrper"/>
    <w:next w:val="Textkrper"/>
    <w:link w:val="berschrift4Zchn"/>
    <w:qFormat/>
    <w:rsid w:val="001835F7"/>
    <w:pPr>
      <w:keepNext/>
      <w:numPr>
        <w:ilvl w:val="3"/>
        <w:numId w:val="5"/>
      </w:numPr>
      <w:suppressLineNumbers/>
      <w:overflowPunct/>
      <w:autoSpaceDE/>
      <w:autoSpaceDN/>
      <w:adjustRightInd/>
      <w:spacing w:before="360"/>
      <w:jc w:val="left"/>
      <w:textAlignment w:val="auto"/>
      <w:outlineLvl w:val="3"/>
    </w:pPr>
    <w:rPr>
      <w:rFonts w:ascii="Arial" w:eastAsia="Times New Roman" w:hAnsi="Arial" w:cs="Times New Roman"/>
      <w:bCs/>
      <w:szCs w:val="28"/>
      <w:lang w:eastAsia="de-DE"/>
    </w:rPr>
  </w:style>
  <w:style w:type="paragraph" w:styleId="berschrift5">
    <w:name w:val="heading 5"/>
    <w:basedOn w:val="Textkrper"/>
    <w:next w:val="Textkrper"/>
    <w:link w:val="berschrift5Zchn"/>
    <w:qFormat/>
    <w:rsid w:val="001835F7"/>
    <w:pPr>
      <w:keepNext/>
      <w:numPr>
        <w:ilvl w:val="4"/>
        <w:numId w:val="5"/>
      </w:numPr>
      <w:suppressLineNumbers/>
      <w:overflowPunct/>
      <w:autoSpaceDE/>
      <w:autoSpaceDN/>
      <w:adjustRightInd/>
      <w:spacing w:before="360"/>
      <w:jc w:val="left"/>
      <w:textAlignment w:val="auto"/>
      <w:outlineLvl w:val="4"/>
    </w:pPr>
    <w:rPr>
      <w:rFonts w:ascii="Arial" w:eastAsia="Times New Roman" w:hAnsi="Arial" w:cs="Times New Roman"/>
      <w:bCs/>
      <w:iCs/>
      <w:szCs w:val="26"/>
      <w:lang w:eastAsia="de-DE"/>
    </w:rPr>
  </w:style>
  <w:style w:type="paragraph" w:styleId="berschrift6">
    <w:name w:val="heading 6"/>
    <w:basedOn w:val="Textkrper"/>
    <w:next w:val="Textkrper"/>
    <w:link w:val="berschrift6Zchn"/>
    <w:qFormat/>
    <w:rsid w:val="001835F7"/>
    <w:pPr>
      <w:keepNext/>
      <w:numPr>
        <w:ilvl w:val="5"/>
        <w:numId w:val="5"/>
      </w:numPr>
      <w:suppressLineNumbers/>
      <w:overflowPunct/>
      <w:autoSpaceDE/>
      <w:autoSpaceDN/>
      <w:adjustRightInd/>
      <w:spacing w:before="360"/>
      <w:jc w:val="left"/>
      <w:textAlignment w:val="auto"/>
      <w:outlineLvl w:val="5"/>
    </w:pPr>
    <w:rPr>
      <w:rFonts w:ascii="Arial" w:eastAsia="Times New Roman" w:hAnsi="Arial" w:cs="Times New Roman"/>
      <w:bCs/>
      <w:szCs w:val="22"/>
      <w:lang w:eastAsia="de-DE"/>
    </w:rPr>
  </w:style>
  <w:style w:type="paragraph" w:styleId="berschrift7">
    <w:name w:val="heading 7"/>
    <w:basedOn w:val="Standard"/>
    <w:next w:val="Standard"/>
    <w:link w:val="berschrift7Zchn"/>
    <w:semiHidden/>
    <w:qFormat/>
    <w:rsid w:val="001835F7"/>
    <w:pPr>
      <w:keepNext/>
      <w:numPr>
        <w:ilvl w:val="6"/>
        <w:numId w:val="5"/>
      </w:numPr>
      <w:suppressLineNumbers/>
      <w:overflowPunct/>
      <w:autoSpaceDE/>
      <w:autoSpaceDN/>
      <w:adjustRightInd/>
      <w:jc w:val="left"/>
      <w:textAlignment w:val="auto"/>
      <w:outlineLvl w:val="6"/>
    </w:pPr>
    <w:rPr>
      <w:rFonts w:ascii="Arial" w:eastAsia="Times New Roman" w:hAnsi="Arial" w:cs="Times New Roman"/>
      <w:szCs w:val="24"/>
      <w:lang w:eastAsia="de-DE"/>
    </w:rPr>
  </w:style>
  <w:style w:type="paragraph" w:styleId="berschrift8">
    <w:name w:val="heading 8"/>
    <w:basedOn w:val="Standard"/>
    <w:next w:val="Standard"/>
    <w:link w:val="berschrift8Zchn"/>
    <w:semiHidden/>
    <w:qFormat/>
    <w:rsid w:val="001835F7"/>
    <w:pPr>
      <w:keepNext/>
      <w:numPr>
        <w:ilvl w:val="7"/>
        <w:numId w:val="5"/>
      </w:numPr>
      <w:suppressLineNumbers/>
      <w:overflowPunct/>
      <w:autoSpaceDE/>
      <w:autoSpaceDN/>
      <w:adjustRightInd/>
      <w:jc w:val="left"/>
      <w:textAlignment w:val="auto"/>
      <w:outlineLvl w:val="7"/>
    </w:pPr>
    <w:rPr>
      <w:rFonts w:ascii="Arial" w:eastAsia="Times New Roman" w:hAnsi="Arial" w:cs="Times New Roman"/>
      <w:iCs/>
      <w:szCs w:val="24"/>
      <w:lang w:eastAsia="de-DE"/>
    </w:rPr>
  </w:style>
  <w:style w:type="paragraph" w:styleId="berschrift9">
    <w:name w:val="heading 9"/>
    <w:basedOn w:val="Standard"/>
    <w:next w:val="Standard"/>
    <w:link w:val="berschrift9Zchn"/>
    <w:semiHidden/>
    <w:qFormat/>
    <w:rsid w:val="001835F7"/>
    <w:pPr>
      <w:keepNext/>
      <w:numPr>
        <w:ilvl w:val="8"/>
        <w:numId w:val="5"/>
      </w:numPr>
      <w:suppressLineNumbers/>
      <w:overflowPunct/>
      <w:autoSpaceDE/>
      <w:autoSpaceDN/>
      <w:adjustRightInd/>
      <w:jc w:val="left"/>
      <w:textAlignment w:val="auto"/>
      <w:outlineLvl w:val="8"/>
    </w:pPr>
    <w:rPr>
      <w:rFonts w:ascii="Arial" w:eastAsia="Times New Roman" w:hAnsi="Arial" w:cs="Arial"/>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835F7"/>
    <w:rPr>
      <w:color w:val="808080"/>
      <w:lang w:val="de-DE"/>
    </w:rPr>
  </w:style>
  <w:style w:type="paragraph" w:styleId="Kopfzeile">
    <w:name w:val="header"/>
    <w:basedOn w:val="Standard"/>
    <w:link w:val="KopfzeileZchn"/>
    <w:uiPriority w:val="3"/>
    <w:semiHidden/>
    <w:rsid w:val="001835F7"/>
    <w:pPr>
      <w:spacing w:before="240" w:after="0"/>
      <w:jc w:val="right"/>
    </w:pPr>
  </w:style>
  <w:style w:type="character" w:customStyle="1" w:styleId="KopfzeileZchn">
    <w:name w:val="Kopfzeile Zchn"/>
    <w:basedOn w:val="Absatz-Standardschriftart"/>
    <w:link w:val="Kopfzeile"/>
    <w:uiPriority w:val="3"/>
    <w:semiHidden/>
    <w:rsid w:val="001835F7"/>
    <w:rPr>
      <w:lang w:val="de-DE"/>
    </w:rPr>
  </w:style>
  <w:style w:type="paragraph" w:styleId="Fuzeile">
    <w:name w:val="footer"/>
    <w:basedOn w:val="Textkrper"/>
    <w:link w:val="FuzeileZchn"/>
    <w:uiPriority w:val="3"/>
    <w:rsid w:val="001835F7"/>
    <w:pPr>
      <w:tabs>
        <w:tab w:val="left" w:pos="9072"/>
      </w:tabs>
      <w:spacing w:before="0" w:after="0" w:line="240" w:lineRule="auto"/>
      <w:ind w:left="720"/>
      <w:jc w:val="right"/>
    </w:pPr>
  </w:style>
  <w:style w:type="character" w:customStyle="1" w:styleId="FuzeileZchn">
    <w:name w:val="Fußzeile Zchn"/>
    <w:basedOn w:val="Absatz-Standardschriftart"/>
    <w:link w:val="Fuzeile"/>
    <w:uiPriority w:val="3"/>
    <w:rsid w:val="001835F7"/>
    <w:rPr>
      <w:lang w:val="de-DE"/>
    </w:rPr>
  </w:style>
  <w:style w:type="character" w:customStyle="1" w:styleId="berschrift1Zchn">
    <w:name w:val="Überschrift 1 Zchn"/>
    <w:basedOn w:val="Absatz-Standardschriftart"/>
    <w:link w:val="berschrift1"/>
    <w:rsid w:val="004620B0"/>
    <w:rPr>
      <w:rFonts w:eastAsia="Times New Roman" w:cs="Arial"/>
      <w:b/>
      <w:bCs/>
      <w:szCs w:val="32"/>
      <w:lang w:val="de-DE" w:eastAsia="de-DE"/>
    </w:rPr>
  </w:style>
  <w:style w:type="character" w:customStyle="1" w:styleId="berschrift2Zchn">
    <w:name w:val="Überschrift 2 Zchn"/>
    <w:basedOn w:val="Absatz-Standardschriftart"/>
    <w:link w:val="berschrift2"/>
    <w:rsid w:val="001835F7"/>
    <w:rPr>
      <w:rFonts w:ascii="Arial" w:eastAsia="Times New Roman" w:hAnsi="Arial" w:cs="Times New Roman"/>
      <w:b/>
      <w:bCs/>
      <w:iCs/>
      <w:szCs w:val="28"/>
      <w:lang w:val="de-DE" w:eastAsia="de-DE"/>
    </w:rPr>
  </w:style>
  <w:style w:type="character" w:customStyle="1" w:styleId="berschrift3Zchn">
    <w:name w:val="Überschrift 3 Zchn"/>
    <w:basedOn w:val="Absatz-Standardschriftart"/>
    <w:link w:val="berschrift3"/>
    <w:rsid w:val="001835F7"/>
    <w:rPr>
      <w:rFonts w:ascii="Arial" w:eastAsia="Times New Roman" w:hAnsi="Arial" w:cs="Arial"/>
      <w:bCs/>
      <w:szCs w:val="26"/>
      <w:lang w:val="de-DE" w:eastAsia="de-DE"/>
    </w:rPr>
  </w:style>
  <w:style w:type="character" w:customStyle="1" w:styleId="berschrift4Zchn">
    <w:name w:val="Überschrift 4 Zchn"/>
    <w:basedOn w:val="Absatz-Standardschriftart"/>
    <w:link w:val="berschrift4"/>
    <w:rsid w:val="001835F7"/>
    <w:rPr>
      <w:rFonts w:ascii="Arial" w:eastAsia="Times New Roman" w:hAnsi="Arial" w:cs="Times New Roman"/>
      <w:bCs/>
      <w:szCs w:val="28"/>
      <w:lang w:val="de-DE" w:eastAsia="de-DE"/>
    </w:rPr>
  </w:style>
  <w:style w:type="character" w:customStyle="1" w:styleId="berschrift5Zchn">
    <w:name w:val="Überschrift 5 Zchn"/>
    <w:basedOn w:val="Absatz-Standardschriftart"/>
    <w:link w:val="berschrift5"/>
    <w:rsid w:val="001835F7"/>
    <w:rPr>
      <w:rFonts w:ascii="Arial" w:eastAsia="Times New Roman" w:hAnsi="Arial" w:cs="Times New Roman"/>
      <w:bCs/>
      <w:iCs/>
      <w:szCs w:val="26"/>
      <w:lang w:val="de-DE" w:eastAsia="de-DE"/>
    </w:rPr>
  </w:style>
  <w:style w:type="character" w:customStyle="1" w:styleId="berschrift6Zchn">
    <w:name w:val="Überschrift 6 Zchn"/>
    <w:basedOn w:val="Absatz-Standardschriftart"/>
    <w:link w:val="berschrift6"/>
    <w:rsid w:val="001835F7"/>
    <w:rPr>
      <w:rFonts w:ascii="Arial" w:eastAsia="Times New Roman" w:hAnsi="Arial" w:cs="Times New Roman"/>
      <w:bCs/>
      <w:szCs w:val="22"/>
      <w:lang w:val="de-DE" w:eastAsia="de-DE"/>
    </w:rPr>
  </w:style>
  <w:style w:type="character" w:customStyle="1" w:styleId="berschrift7Zchn">
    <w:name w:val="Überschrift 7 Zchn"/>
    <w:basedOn w:val="Absatz-Standardschriftart"/>
    <w:link w:val="berschrift7"/>
    <w:semiHidden/>
    <w:rsid w:val="001835F7"/>
    <w:rPr>
      <w:rFonts w:ascii="Arial" w:eastAsia="Times New Roman" w:hAnsi="Arial" w:cs="Times New Roman"/>
      <w:szCs w:val="24"/>
      <w:lang w:val="de-DE" w:eastAsia="de-DE"/>
    </w:rPr>
  </w:style>
  <w:style w:type="character" w:customStyle="1" w:styleId="berschrift8Zchn">
    <w:name w:val="Überschrift 8 Zchn"/>
    <w:basedOn w:val="Absatz-Standardschriftart"/>
    <w:link w:val="berschrift8"/>
    <w:semiHidden/>
    <w:rsid w:val="001835F7"/>
    <w:rPr>
      <w:rFonts w:ascii="Arial" w:eastAsia="Times New Roman" w:hAnsi="Arial" w:cs="Times New Roman"/>
      <w:iCs/>
      <w:szCs w:val="24"/>
      <w:lang w:val="de-DE" w:eastAsia="de-DE"/>
    </w:rPr>
  </w:style>
  <w:style w:type="character" w:customStyle="1" w:styleId="berschrift9Zchn">
    <w:name w:val="Überschrift 9 Zchn"/>
    <w:basedOn w:val="Absatz-Standardschriftart"/>
    <w:link w:val="berschrift9"/>
    <w:semiHidden/>
    <w:rsid w:val="001835F7"/>
    <w:rPr>
      <w:rFonts w:ascii="Arial" w:eastAsia="Times New Roman" w:hAnsi="Arial" w:cs="Arial"/>
      <w:szCs w:val="22"/>
      <w:lang w:val="de-DE" w:eastAsia="de-DE"/>
    </w:rPr>
  </w:style>
  <w:style w:type="paragraph" w:styleId="Textkrper">
    <w:name w:val="Body Text"/>
    <w:basedOn w:val="Standard"/>
    <w:link w:val="TextkrperZchn"/>
    <w:rsid w:val="001835F7"/>
  </w:style>
  <w:style w:type="character" w:customStyle="1" w:styleId="TextkrperZchn">
    <w:name w:val="Textkörper Zchn"/>
    <w:basedOn w:val="Absatz-Standardschriftart"/>
    <w:link w:val="Textkrper"/>
    <w:rsid w:val="001835F7"/>
    <w:rPr>
      <w:lang w:val="de-DE"/>
    </w:rPr>
  </w:style>
  <w:style w:type="paragraph" w:customStyle="1" w:styleId="BodyText1">
    <w:name w:val="Body Text 1"/>
    <w:basedOn w:val="Textkrper"/>
    <w:uiPriority w:val="5"/>
    <w:semiHidden/>
    <w:rsid w:val="001835F7"/>
  </w:style>
  <w:style w:type="paragraph" w:styleId="Textkrper2">
    <w:name w:val="Body Text 2"/>
    <w:basedOn w:val="Textkrper"/>
    <w:link w:val="Textkrper2Zchn"/>
    <w:uiPriority w:val="5"/>
    <w:semiHidden/>
    <w:rsid w:val="001835F7"/>
  </w:style>
  <w:style w:type="character" w:customStyle="1" w:styleId="Textkrper2Zchn">
    <w:name w:val="Textkörper 2 Zchn"/>
    <w:basedOn w:val="Absatz-Standardschriftart"/>
    <w:link w:val="Textkrper2"/>
    <w:uiPriority w:val="5"/>
    <w:semiHidden/>
    <w:rsid w:val="001835F7"/>
    <w:rPr>
      <w:lang w:val="de-DE"/>
    </w:rPr>
  </w:style>
  <w:style w:type="paragraph" w:styleId="Aufzhlungszeichen">
    <w:name w:val="List Bullet"/>
    <w:basedOn w:val="Standard"/>
    <w:uiPriority w:val="99"/>
    <w:semiHidden/>
    <w:rsid w:val="001835F7"/>
    <w:pPr>
      <w:numPr>
        <w:numId w:val="6"/>
      </w:numPr>
      <w:tabs>
        <w:tab w:val="left" w:pos="720"/>
      </w:tabs>
    </w:pPr>
  </w:style>
  <w:style w:type="paragraph" w:styleId="Textkrper3">
    <w:name w:val="Body Text 3"/>
    <w:basedOn w:val="Textkrper"/>
    <w:link w:val="Textkrper3Zchn"/>
    <w:uiPriority w:val="5"/>
    <w:semiHidden/>
    <w:rsid w:val="001835F7"/>
  </w:style>
  <w:style w:type="character" w:customStyle="1" w:styleId="Textkrper3Zchn">
    <w:name w:val="Textkörper 3 Zchn"/>
    <w:basedOn w:val="Absatz-Standardschriftart"/>
    <w:link w:val="Textkrper3"/>
    <w:uiPriority w:val="5"/>
    <w:semiHidden/>
    <w:rsid w:val="001835F7"/>
    <w:rPr>
      <w:lang w:val="de-DE"/>
    </w:rPr>
  </w:style>
  <w:style w:type="paragraph" w:customStyle="1" w:styleId="BodyText4">
    <w:name w:val="Body Text 4"/>
    <w:basedOn w:val="Textkrper"/>
    <w:uiPriority w:val="5"/>
    <w:semiHidden/>
    <w:rsid w:val="001835F7"/>
  </w:style>
  <w:style w:type="paragraph" w:customStyle="1" w:styleId="BodyText5">
    <w:name w:val="Body Text 5"/>
    <w:basedOn w:val="Textkrper"/>
    <w:uiPriority w:val="5"/>
    <w:semiHidden/>
    <w:rsid w:val="001835F7"/>
  </w:style>
  <w:style w:type="paragraph" w:customStyle="1" w:styleId="BodyText6">
    <w:name w:val="Body Text 6"/>
    <w:basedOn w:val="Standard"/>
    <w:uiPriority w:val="5"/>
    <w:semiHidden/>
    <w:rsid w:val="001835F7"/>
  </w:style>
  <w:style w:type="character" w:styleId="Kommentarzeichen">
    <w:name w:val="annotation reference"/>
    <w:basedOn w:val="Absatz-Standardschriftart"/>
    <w:uiPriority w:val="99"/>
    <w:semiHidden/>
    <w:rsid w:val="001835F7"/>
    <w:rPr>
      <w:rFonts w:ascii="Arial" w:hAnsi="Arial"/>
      <w:color w:val="auto"/>
      <w:sz w:val="20"/>
      <w:lang w:val="de-DE"/>
    </w:rPr>
  </w:style>
  <w:style w:type="paragraph" w:styleId="Kommentartext">
    <w:name w:val="annotation text"/>
    <w:basedOn w:val="Textkrper"/>
    <w:link w:val="KommentartextZchn"/>
    <w:uiPriority w:val="5"/>
    <w:rsid w:val="001835F7"/>
    <w:pPr>
      <w:spacing w:line="240" w:lineRule="atLeast"/>
      <w:jc w:val="left"/>
    </w:pPr>
    <w:rPr>
      <w:rFonts w:ascii="Arial" w:hAnsi="Arial"/>
    </w:rPr>
  </w:style>
  <w:style w:type="character" w:customStyle="1" w:styleId="KommentartextZchn">
    <w:name w:val="Kommentartext Zchn"/>
    <w:basedOn w:val="Absatz-Standardschriftart"/>
    <w:link w:val="Kommentartext"/>
    <w:uiPriority w:val="5"/>
    <w:rsid w:val="001835F7"/>
    <w:rPr>
      <w:rFonts w:ascii="Arial" w:hAnsi="Arial"/>
      <w:lang w:val="de-DE"/>
    </w:rPr>
  </w:style>
  <w:style w:type="paragraph" w:styleId="Sprechblasentext">
    <w:name w:val="Balloon Text"/>
    <w:basedOn w:val="Standard"/>
    <w:link w:val="SprechblasentextZchn"/>
    <w:uiPriority w:val="99"/>
    <w:semiHidden/>
    <w:rsid w:val="001835F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35F7"/>
    <w:rPr>
      <w:rFonts w:ascii="Tahoma" w:hAnsi="Tahoma" w:cs="Tahoma"/>
      <w:sz w:val="16"/>
      <w:szCs w:val="16"/>
      <w:lang w:val="de-DE"/>
    </w:rPr>
  </w:style>
  <w:style w:type="paragraph" w:styleId="Blocktext">
    <w:name w:val="Block Text"/>
    <w:basedOn w:val="Standard"/>
    <w:uiPriority w:val="99"/>
    <w:semiHidden/>
    <w:rsid w:val="001835F7"/>
    <w:pPr>
      <w:ind w:left="1440" w:right="1440"/>
    </w:pPr>
  </w:style>
  <w:style w:type="paragraph" w:styleId="Textkrper-Erstzeileneinzug">
    <w:name w:val="Body Text First Indent"/>
    <w:basedOn w:val="Textkrper"/>
    <w:link w:val="Textkrper-ErstzeileneinzugZchn"/>
    <w:uiPriority w:val="99"/>
    <w:semiHidden/>
    <w:rsid w:val="001835F7"/>
    <w:pPr>
      <w:ind w:firstLine="210"/>
    </w:pPr>
  </w:style>
  <w:style w:type="character" w:customStyle="1" w:styleId="Textkrper-ErstzeileneinzugZchn">
    <w:name w:val="Textkörper-Erstzeileneinzug Zchn"/>
    <w:basedOn w:val="TextkrperZchn"/>
    <w:link w:val="Textkrper-Erstzeileneinzug"/>
    <w:uiPriority w:val="99"/>
    <w:semiHidden/>
    <w:rsid w:val="001835F7"/>
    <w:rPr>
      <w:lang w:val="de-DE"/>
    </w:rPr>
  </w:style>
  <w:style w:type="paragraph" w:styleId="Textkrper-Zeileneinzug">
    <w:name w:val="Body Text Indent"/>
    <w:basedOn w:val="Textkrper"/>
    <w:link w:val="Textkrper-ZeileneinzugZchn"/>
    <w:uiPriority w:val="99"/>
    <w:semiHidden/>
    <w:rsid w:val="001835F7"/>
    <w:pPr>
      <w:ind w:left="794"/>
    </w:pPr>
  </w:style>
  <w:style w:type="character" w:customStyle="1" w:styleId="Textkrper-ZeileneinzugZchn">
    <w:name w:val="Textkörper-Zeileneinzug Zchn"/>
    <w:basedOn w:val="Absatz-Standardschriftart"/>
    <w:link w:val="Textkrper-Zeileneinzug"/>
    <w:uiPriority w:val="99"/>
    <w:semiHidden/>
    <w:rsid w:val="001835F7"/>
    <w:rPr>
      <w:lang w:val="de-DE"/>
    </w:rPr>
  </w:style>
  <w:style w:type="paragraph" w:styleId="Textkrper-Erstzeileneinzug2">
    <w:name w:val="Body Text First Indent 2"/>
    <w:basedOn w:val="Textkrper-Zeileneinzug"/>
    <w:link w:val="Textkrper-Erstzeileneinzug2Zchn"/>
    <w:uiPriority w:val="99"/>
    <w:semiHidden/>
    <w:rsid w:val="001835F7"/>
    <w:pPr>
      <w:ind w:firstLine="210"/>
    </w:pPr>
  </w:style>
  <w:style w:type="character" w:customStyle="1" w:styleId="Textkrper-Erstzeileneinzug2Zchn">
    <w:name w:val="Textkörper-Erstzeileneinzug 2 Zchn"/>
    <w:basedOn w:val="Textkrper-ZeileneinzugZchn"/>
    <w:link w:val="Textkrper-Erstzeileneinzug2"/>
    <w:uiPriority w:val="99"/>
    <w:semiHidden/>
    <w:rsid w:val="001835F7"/>
    <w:rPr>
      <w:lang w:val="de-DE"/>
    </w:rPr>
  </w:style>
  <w:style w:type="paragraph" w:styleId="Textkrper-Einzug2">
    <w:name w:val="Body Text Indent 2"/>
    <w:basedOn w:val="Textkrper"/>
    <w:link w:val="Textkrper-Einzug2Zchn"/>
    <w:rsid w:val="001835F7"/>
    <w:pPr>
      <w:ind w:left="1418"/>
    </w:pPr>
  </w:style>
  <w:style w:type="character" w:customStyle="1" w:styleId="Textkrper-Einzug2Zchn">
    <w:name w:val="Textkörper-Einzug 2 Zchn"/>
    <w:basedOn w:val="Absatz-Standardschriftart"/>
    <w:link w:val="Textkrper-Einzug2"/>
    <w:rsid w:val="001835F7"/>
    <w:rPr>
      <w:lang w:val="de-DE"/>
    </w:rPr>
  </w:style>
  <w:style w:type="paragraph" w:styleId="Beschriftung">
    <w:name w:val="caption"/>
    <w:basedOn w:val="Standard"/>
    <w:next w:val="Standard"/>
    <w:uiPriority w:val="99"/>
    <w:semiHidden/>
    <w:rsid w:val="001835F7"/>
    <w:rPr>
      <w:b/>
      <w:bCs/>
    </w:rPr>
  </w:style>
  <w:style w:type="paragraph" w:styleId="Gruformel">
    <w:name w:val="Closing"/>
    <w:basedOn w:val="Textkrper"/>
    <w:link w:val="GruformelZchn"/>
    <w:uiPriority w:val="99"/>
    <w:semiHidden/>
    <w:rsid w:val="001835F7"/>
    <w:pPr>
      <w:spacing w:before="0" w:after="0" w:line="240" w:lineRule="auto"/>
      <w:jc w:val="left"/>
    </w:pPr>
  </w:style>
  <w:style w:type="character" w:customStyle="1" w:styleId="GruformelZchn">
    <w:name w:val="Grußformel Zchn"/>
    <w:basedOn w:val="Absatz-Standardschriftart"/>
    <w:link w:val="Gruformel"/>
    <w:uiPriority w:val="99"/>
    <w:semiHidden/>
    <w:rsid w:val="001835F7"/>
    <w:rPr>
      <w:lang w:val="de-DE"/>
    </w:rPr>
  </w:style>
  <w:style w:type="paragraph" w:styleId="Kommentarthema">
    <w:name w:val="annotation subject"/>
    <w:basedOn w:val="Kommentartext"/>
    <w:next w:val="Kommentartext"/>
    <w:link w:val="KommentarthemaZchn"/>
    <w:uiPriority w:val="99"/>
    <w:semiHidden/>
    <w:rsid w:val="001835F7"/>
    <w:pPr>
      <w:jc w:val="both"/>
    </w:pPr>
    <w:rPr>
      <w:b/>
      <w:bCs/>
    </w:rPr>
  </w:style>
  <w:style w:type="character" w:customStyle="1" w:styleId="KommentarthemaZchn">
    <w:name w:val="Kommentarthema Zchn"/>
    <w:basedOn w:val="KommentartextZchn"/>
    <w:link w:val="Kommentarthema"/>
    <w:uiPriority w:val="99"/>
    <w:semiHidden/>
    <w:rsid w:val="001835F7"/>
    <w:rPr>
      <w:rFonts w:ascii="Arial" w:hAnsi="Arial"/>
      <w:b/>
      <w:bCs/>
      <w:lang w:val="de-DE"/>
    </w:rPr>
  </w:style>
  <w:style w:type="paragraph" w:styleId="Datum">
    <w:name w:val="Date"/>
    <w:basedOn w:val="Standard"/>
    <w:next w:val="Standard"/>
    <w:link w:val="DatumZchn"/>
    <w:uiPriority w:val="99"/>
    <w:semiHidden/>
    <w:rsid w:val="001835F7"/>
  </w:style>
  <w:style w:type="character" w:customStyle="1" w:styleId="DatumZchn">
    <w:name w:val="Datum Zchn"/>
    <w:basedOn w:val="Absatz-Standardschriftart"/>
    <w:link w:val="Datum"/>
    <w:uiPriority w:val="99"/>
    <w:semiHidden/>
    <w:rsid w:val="001835F7"/>
    <w:rPr>
      <w:lang w:val="de-DE"/>
    </w:rPr>
  </w:style>
  <w:style w:type="paragraph" w:styleId="Dokumentstruktur">
    <w:name w:val="Document Map"/>
    <w:basedOn w:val="Standard"/>
    <w:link w:val="DokumentstrukturZchn"/>
    <w:uiPriority w:val="99"/>
    <w:semiHidden/>
    <w:rsid w:val="001835F7"/>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sid w:val="001835F7"/>
    <w:rPr>
      <w:rFonts w:ascii="Tahoma" w:hAnsi="Tahoma" w:cs="Tahoma"/>
      <w:shd w:val="clear" w:color="auto" w:fill="000080"/>
      <w:lang w:val="de-DE"/>
    </w:rPr>
  </w:style>
  <w:style w:type="paragraph" w:styleId="E-Mail-Signatur">
    <w:name w:val="E-mail Signature"/>
    <w:basedOn w:val="Standard"/>
    <w:link w:val="E-Mail-SignaturZchn"/>
    <w:uiPriority w:val="99"/>
    <w:semiHidden/>
    <w:rsid w:val="001835F7"/>
  </w:style>
  <w:style w:type="character" w:customStyle="1" w:styleId="E-Mail-SignaturZchn">
    <w:name w:val="E-Mail-Signatur Zchn"/>
    <w:basedOn w:val="Absatz-Standardschriftart"/>
    <w:link w:val="E-Mail-Signatur"/>
    <w:uiPriority w:val="99"/>
    <w:semiHidden/>
    <w:rsid w:val="001835F7"/>
    <w:rPr>
      <w:lang w:val="de-DE"/>
    </w:rPr>
  </w:style>
  <w:style w:type="character" w:styleId="Hervorhebung">
    <w:name w:val="Emphasis"/>
    <w:basedOn w:val="Absatz-Standardschriftart"/>
    <w:uiPriority w:val="20"/>
    <w:qFormat/>
    <w:rsid w:val="001835F7"/>
    <w:rPr>
      <w:i/>
      <w:iCs/>
      <w:lang w:val="de-DE"/>
    </w:rPr>
  </w:style>
  <w:style w:type="character" w:styleId="Endnotenzeichen">
    <w:name w:val="endnote reference"/>
    <w:basedOn w:val="Absatz-Standardschriftart"/>
    <w:uiPriority w:val="5"/>
    <w:semiHidden/>
    <w:rsid w:val="001835F7"/>
    <w:rPr>
      <w:vertAlign w:val="superscript"/>
      <w:lang w:val="de-DE"/>
    </w:rPr>
  </w:style>
  <w:style w:type="paragraph" w:styleId="Endnotentext">
    <w:name w:val="endnote text"/>
    <w:basedOn w:val="Standard"/>
    <w:link w:val="EndnotentextZchn"/>
    <w:uiPriority w:val="5"/>
    <w:semiHidden/>
    <w:rsid w:val="001835F7"/>
  </w:style>
  <w:style w:type="character" w:customStyle="1" w:styleId="EndnotentextZchn">
    <w:name w:val="Endnotentext Zchn"/>
    <w:basedOn w:val="Absatz-Standardschriftart"/>
    <w:link w:val="Endnotentext"/>
    <w:uiPriority w:val="5"/>
    <w:semiHidden/>
    <w:rsid w:val="001835F7"/>
    <w:rPr>
      <w:lang w:val="de-DE"/>
    </w:rPr>
  </w:style>
  <w:style w:type="paragraph" w:styleId="Umschlagadresse">
    <w:name w:val="envelope address"/>
    <w:basedOn w:val="Standard"/>
    <w:uiPriority w:val="99"/>
    <w:semiHidden/>
    <w:rsid w:val="001835F7"/>
    <w:pPr>
      <w:framePr w:w="7920" w:h="1980" w:hRule="exact" w:hSpace="180" w:wrap="auto" w:hAnchor="page" w:xAlign="center" w:yAlign="bottom"/>
      <w:ind w:left="2880"/>
    </w:pPr>
    <w:rPr>
      <w:szCs w:val="24"/>
    </w:rPr>
  </w:style>
  <w:style w:type="paragraph" w:styleId="Umschlagabsenderadresse">
    <w:name w:val="envelope return"/>
    <w:basedOn w:val="Standard"/>
    <w:uiPriority w:val="99"/>
    <w:semiHidden/>
    <w:rsid w:val="001835F7"/>
    <w:pPr>
      <w:spacing w:line="240" w:lineRule="auto"/>
    </w:pPr>
  </w:style>
  <w:style w:type="character" w:styleId="BesuchterLink">
    <w:name w:val="FollowedHyperlink"/>
    <w:basedOn w:val="Absatz-Standardschriftart"/>
    <w:uiPriority w:val="99"/>
    <w:semiHidden/>
    <w:rsid w:val="001835F7"/>
    <w:rPr>
      <w:color w:val="800080"/>
      <w:u w:val="single"/>
      <w:lang w:val="de-DE"/>
    </w:rPr>
  </w:style>
  <w:style w:type="character" w:styleId="Funotenzeichen">
    <w:name w:val="footnote reference"/>
    <w:basedOn w:val="Absatz-Standardschriftart"/>
    <w:uiPriority w:val="99"/>
    <w:semiHidden/>
    <w:rsid w:val="001835F7"/>
    <w:rPr>
      <w:vertAlign w:val="superscript"/>
      <w:lang w:val="de-DE"/>
    </w:rPr>
  </w:style>
  <w:style w:type="paragraph" w:styleId="Funotentext">
    <w:name w:val="footnote text"/>
    <w:basedOn w:val="Standard"/>
    <w:link w:val="FunotentextZchn"/>
    <w:uiPriority w:val="5"/>
    <w:semiHidden/>
    <w:rsid w:val="001835F7"/>
    <w:pPr>
      <w:spacing w:before="0" w:after="0"/>
    </w:pPr>
    <w:rPr>
      <w:sz w:val="16"/>
    </w:rPr>
  </w:style>
  <w:style w:type="character" w:customStyle="1" w:styleId="FunotentextZchn">
    <w:name w:val="Fußnotentext Zchn"/>
    <w:basedOn w:val="Absatz-Standardschriftart"/>
    <w:link w:val="Funotentext"/>
    <w:uiPriority w:val="5"/>
    <w:semiHidden/>
    <w:rsid w:val="001835F7"/>
    <w:rPr>
      <w:sz w:val="16"/>
      <w:lang w:val="de-DE"/>
    </w:rPr>
  </w:style>
  <w:style w:type="character" w:styleId="HTMLAkronym">
    <w:name w:val="HTML Acronym"/>
    <w:basedOn w:val="Absatz-Standardschriftart"/>
    <w:uiPriority w:val="99"/>
    <w:semiHidden/>
    <w:rsid w:val="001835F7"/>
    <w:rPr>
      <w:lang w:val="de-DE"/>
    </w:rPr>
  </w:style>
  <w:style w:type="paragraph" w:styleId="HTMLAdresse">
    <w:name w:val="HTML Address"/>
    <w:basedOn w:val="Standard"/>
    <w:link w:val="HTMLAdresseZchn"/>
    <w:uiPriority w:val="99"/>
    <w:semiHidden/>
    <w:rsid w:val="001835F7"/>
    <w:rPr>
      <w:i/>
      <w:iCs/>
    </w:rPr>
  </w:style>
  <w:style w:type="character" w:customStyle="1" w:styleId="HTMLAdresseZchn">
    <w:name w:val="HTML Adresse Zchn"/>
    <w:basedOn w:val="Absatz-Standardschriftart"/>
    <w:link w:val="HTMLAdresse"/>
    <w:uiPriority w:val="99"/>
    <w:semiHidden/>
    <w:rsid w:val="001835F7"/>
    <w:rPr>
      <w:i/>
      <w:iCs/>
      <w:lang w:val="de-DE"/>
    </w:rPr>
  </w:style>
  <w:style w:type="character" w:styleId="HTMLZitat">
    <w:name w:val="HTML Cite"/>
    <w:basedOn w:val="Absatz-Standardschriftart"/>
    <w:uiPriority w:val="99"/>
    <w:semiHidden/>
    <w:rsid w:val="001835F7"/>
    <w:rPr>
      <w:i/>
      <w:iCs/>
      <w:lang w:val="de-DE"/>
    </w:rPr>
  </w:style>
  <w:style w:type="character" w:styleId="HTMLCode">
    <w:name w:val="HTML Code"/>
    <w:basedOn w:val="Absatz-Standardschriftart"/>
    <w:uiPriority w:val="99"/>
    <w:semiHidden/>
    <w:rsid w:val="001835F7"/>
    <w:rPr>
      <w:rFonts w:ascii="Courier New" w:hAnsi="Courier New" w:cs="Courier New"/>
      <w:sz w:val="20"/>
      <w:szCs w:val="20"/>
      <w:lang w:val="de-DE"/>
    </w:rPr>
  </w:style>
  <w:style w:type="character" w:styleId="HTMLDefinition">
    <w:name w:val="HTML Definition"/>
    <w:basedOn w:val="Absatz-Standardschriftart"/>
    <w:uiPriority w:val="99"/>
    <w:semiHidden/>
    <w:rsid w:val="001835F7"/>
    <w:rPr>
      <w:i/>
      <w:iCs/>
      <w:lang w:val="de-DE"/>
    </w:rPr>
  </w:style>
  <w:style w:type="character" w:styleId="HTMLTastatur">
    <w:name w:val="HTML Keyboard"/>
    <w:basedOn w:val="Absatz-Standardschriftart"/>
    <w:uiPriority w:val="99"/>
    <w:semiHidden/>
    <w:rsid w:val="001835F7"/>
    <w:rPr>
      <w:rFonts w:ascii="Courier New" w:hAnsi="Courier New" w:cs="Courier New"/>
      <w:sz w:val="20"/>
      <w:szCs w:val="20"/>
      <w:lang w:val="de-DE"/>
    </w:rPr>
  </w:style>
  <w:style w:type="paragraph" w:styleId="HTMLVorformatiert">
    <w:name w:val="HTML Preformatted"/>
    <w:basedOn w:val="Standard"/>
    <w:link w:val="HTMLVorformatiertZchn"/>
    <w:uiPriority w:val="99"/>
    <w:semiHidden/>
    <w:rsid w:val="001835F7"/>
    <w:rPr>
      <w:rFonts w:ascii="Courier New" w:hAnsi="Courier New" w:cs="Courier New"/>
    </w:rPr>
  </w:style>
  <w:style w:type="character" w:customStyle="1" w:styleId="HTMLVorformatiertZchn">
    <w:name w:val="HTML Vorformatiert Zchn"/>
    <w:basedOn w:val="Absatz-Standardschriftart"/>
    <w:link w:val="HTMLVorformatiert"/>
    <w:uiPriority w:val="99"/>
    <w:semiHidden/>
    <w:rsid w:val="001835F7"/>
    <w:rPr>
      <w:rFonts w:ascii="Courier New" w:hAnsi="Courier New" w:cs="Courier New"/>
      <w:lang w:val="de-DE"/>
    </w:rPr>
  </w:style>
  <w:style w:type="character" w:styleId="HTMLBeispiel">
    <w:name w:val="HTML Sample"/>
    <w:basedOn w:val="Absatz-Standardschriftart"/>
    <w:uiPriority w:val="99"/>
    <w:semiHidden/>
    <w:rsid w:val="001835F7"/>
    <w:rPr>
      <w:rFonts w:ascii="Courier New" w:hAnsi="Courier New" w:cs="Courier New"/>
      <w:lang w:val="de-DE"/>
    </w:rPr>
  </w:style>
  <w:style w:type="character" w:styleId="HTMLSchreibmaschine">
    <w:name w:val="HTML Typewriter"/>
    <w:basedOn w:val="Absatz-Standardschriftart"/>
    <w:uiPriority w:val="99"/>
    <w:semiHidden/>
    <w:rsid w:val="001835F7"/>
    <w:rPr>
      <w:rFonts w:ascii="Courier New" w:hAnsi="Courier New" w:cs="Courier New"/>
      <w:sz w:val="20"/>
      <w:szCs w:val="20"/>
      <w:lang w:val="de-DE"/>
    </w:rPr>
  </w:style>
  <w:style w:type="character" w:styleId="HTMLVariable">
    <w:name w:val="HTML Variable"/>
    <w:basedOn w:val="Absatz-Standardschriftart"/>
    <w:uiPriority w:val="99"/>
    <w:semiHidden/>
    <w:rsid w:val="001835F7"/>
    <w:rPr>
      <w:i/>
      <w:iCs/>
      <w:lang w:val="de-DE"/>
    </w:rPr>
  </w:style>
  <w:style w:type="character" w:styleId="Hyperlink">
    <w:name w:val="Hyperlink"/>
    <w:basedOn w:val="Absatz-Standardschriftart"/>
    <w:uiPriority w:val="99"/>
    <w:rsid w:val="001835F7"/>
    <w:rPr>
      <w:color w:val="0000FF"/>
      <w:u w:val="single"/>
      <w:lang w:val="de-DE"/>
    </w:rPr>
  </w:style>
  <w:style w:type="paragraph" w:styleId="Index1">
    <w:name w:val="index 1"/>
    <w:basedOn w:val="Standard"/>
    <w:next w:val="Standard"/>
    <w:autoRedefine/>
    <w:uiPriority w:val="5"/>
    <w:semiHidden/>
    <w:rsid w:val="001835F7"/>
    <w:pPr>
      <w:ind w:left="240" w:hanging="240"/>
    </w:pPr>
  </w:style>
  <w:style w:type="paragraph" w:styleId="Index2">
    <w:name w:val="index 2"/>
    <w:basedOn w:val="Standard"/>
    <w:next w:val="Standard"/>
    <w:autoRedefine/>
    <w:uiPriority w:val="5"/>
    <w:semiHidden/>
    <w:rsid w:val="001835F7"/>
    <w:pPr>
      <w:ind w:left="480" w:hanging="240"/>
    </w:pPr>
  </w:style>
  <w:style w:type="paragraph" w:styleId="Index3">
    <w:name w:val="index 3"/>
    <w:basedOn w:val="Standard"/>
    <w:next w:val="Standard"/>
    <w:autoRedefine/>
    <w:uiPriority w:val="5"/>
    <w:semiHidden/>
    <w:rsid w:val="001835F7"/>
    <w:pPr>
      <w:ind w:left="720" w:hanging="240"/>
    </w:pPr>
  </w:style>
  <w:style w:type="paragraph" w:styleId="Index4">
    <w:name w:val="index 4"/>
    <w:basedOn w:val="Standard"/>
    <w:next w:val="Standard"/>
    <w:autoRedefine/>
    <w:uiPriority w:val="5"/>
    <w:semiHidden/>
    <w:rsid w:val="001835F7"/>
    <w:pPr>
      <w:ind w:left="960" w:hanging="240"/>
    </w:pPr>
  </w:style>
  <w:style w:type="paragraph" w:styleId="Index5">
    <w:name w:val="index 5"/>
    <w:basedOn w:val="Standard"/>
    <w:next w:val="Standard"/>
    <w:autoRedefine/>
    <w:uiPriority w:val="5"/>
    <w:semiHidden/>
    <w:rsid w:val="001835F7"/>
    <w:pPr>
      <w:ind w:left="1200" w:hanging="240"/>
    </w:pPr>
  </w:style>
  <w:style w:type="paragraph" w:styleId="Index6">
    <w:name w:val="index 6"/>
    <w:basedOn w:val="Standard"/>
    <w:next w:val="Standard"/>
    <w:autoRedefine/>
    <w:uiPriority w:val="5"/>
    <w:semiHidden/>
    <w:rsid w:val="001835F7"/>
    <w:pPr>
      <w:ind w:left="1440" w:hanging="240"/>
    </w:pPr>
  </w:style>
  <w:style w:type="paragraph" w:styleId="Index7">
    <w:name w:val="index 7"/>
    <w:basedOn w:val="Standard"/>
    <w:next w:val="Standard"/>
    <w:autoRedefine/>
    <w:uiPriority w:val="5"/>
    <w:semiHidden/>
    <w:rsid w:val="001835F7"/>
    <w:pPr>
      <w:ind w:left="1680" w:hanging="240"/>
    </w:pPr>
  </w:style>
  <w:style w:type="paragraph" w:styleId="Index8">
    <w:name w:val="index 8"/>
    <w:basedOn w:val="Standard"/>
    <w:next w:val="Standard"/>
    <w:autoRedefine/>
    <w:uiPriority w:val="5"/>
    <w:semiHidden/>
    <w:rsid w:val="001835F7"/>
    <w:pPr>
      <w:ind w:left="1920" w:hanging="240"/>
    </w:pPr>
  </w:style>
  <w:style w:type="paragraph" w:styleId="Index9">
    <w:name w:val="index 9"/>
    <w:basedOn w:val="Standard"/>
    <w:next w:val="Standard"/>
    <w:autoRedefine/>
    <w:uiPriority w:val="5"/>
    <w:semiHidden/>
    <w:rsid w:val="001835F7"/>
    <w:pPr>
      <w:ind w:left="2160" w:hanging="240"/>
    </w:pPr>
  </w:style>
  <w:style w:type="paragraph" w:styleId="Indexberschrift">
    <w:name w:val="index heading"/>
    <w:basedOn w:val="Standard"/>
    <w:next w:val="Index1"/>
    <w:uiPriority w:val="5"/>
    <w:semiHidden/>
    <w:rsid w:val="001835F7"/>
    <w:rPr>
      <w:b/>
      <w:bCs/>
    </w:rPr>
  </w:style>
  <w:style w:type="character" w:styleId="Zeilennummer">
    <w:name w:val="line number"/>
    <w:basedOn w:val="Absatz-Standardschriftart"/>
    <w:uiPriority w:val="5"/>
    <w:semiHidden/>
    <w:rsid w:val="001835F7"/>
    <w:rPr>
      <w:lang w:val="de-DE"/>
    </w:rPr>
  </w:style>
  <w:style w:type="paragraph" w:styleId="Liste">
    <w:name w:val="List"/>
    <w:basedOn w:val="Standard"/>
    <w:uiPriority w:val="99"/>
    <w:semiHidden/>
    <w:rsid w:val="001835F7"/>
    <w:pPr>
      <w:ind w:left="283" w:hanging="283"/>
    </w:pPr>
  </w:style>
  <w:style w:type="paragraph" w:styleId="Liste2">
    <w:name w:val="List 2"/>
    <w:basedOn w:val="Standard"/>
    <w:uiPriority w:val="99"/>
    <w:semiHidden/>
    <w:rsid w:val="001835F7"/>
    <w:pPr>
      <w:ind w:left="566" w:hanging="283"/>
    </w:pPr>
  </w:style>
  <w:style w:type="paragraph" w:styleId="Liste3">
    <w:name w:val="List 3"/>
    <w:basedOn w:val="Standard"/>
    <w:uiPriority w:val="99"/>
    <w:semiHidden/>
    <w:rsid w:val="001835F7"/>
    <w:pPr>
      <w:ind w:left="849" w:hanging="283"/>
    </w:pPr>
  </w:style>
  <w:style w:type="paragraph" w:styleId="Liste4">
    <w:name w:val="List 4"/>
    <w:basedOn w:val="Standard"/>
    <w:uiPriority w:val="99"/>
    <w:semiHidden/>
    <w:rsid w:val="001835F7"/>
    <w:pPr>
      <w:ind w:left="1132" w:hanging="283"/>
    </w:pPr>
  </w:style>
  <w:style w:type="paragraph" w:styleId="Liste5">
    <w:name w:val="List 5"/>
    <w:basedOn w:val="Standard"/>
    <w:uiPriority w:val="99"/>
    <w:semiHidden/>
    <w:rsid w:val="001835F7"/>
    <w:pPr>
      <w:ind w:left="1415" w:hanging="283"/>
    </w:pPr>
  </w:style>
  <w:style w:type="paragraph" w:styleId="Aufzhlungszeichen2">
    <w:name w:val="List Bullet 2"/>
    <w:basedOn w:val="Standard"/>
    <w:autoRedefine/>
    <w:uiPriority w:val="99"/>
    <w:semiHidden/>
    <w:rsid w:val="001835F7"/>
    <w:pPr>
      <w:numPr>
        <w:numId w:val="7"/>
      </w:numPr>
      <w:tabs>
        <w:tab w:val="clear" w:pos="643"/>
        <w:tab w:val="num" w:pos="926"/>
      </w:tabs>
    </w:pPr>
  </w:style>
  <w:style w:type="paragraph" w:styleId="Aufzhlungszeichen3">
    <w:name w:val="List Bullet 3"/>
    <w:basedOn w:val="Standard"/>
    <w:autoRedefine/>
    <w:uiPriority w:val="99"/>
    <w:semiHidden/>
    <w:rsid w:val="001835F7"/>
    <w:pPr>
      <w:numPr>
        <w:numId w:val="8"/>
      </w:numPr>
      <w:tabs>
        <w:tab w:val="clear" w:pos="926"/>
        <w:tab w:val="num" w:pos="1209"/>
      </w:tabs>
    </w:pPr>
  </w:style>
  <w:style w:type="paragraph" w:styleId="Aufzhlungszeichen4">
    <w:name w:val="List Bullet 4"/>
    <w:basedOn w:val="Standard"/>
    <w:autoRedefine/>
    <w:uiPriority w:val="99"/>
    <w:semiHidden/>
    <w:rsid w:val="001835F7"/>
    <w:pPr>
      <w:numPr>
        <w:numId w:val="9"/>
      </w:numPr>
    </w:pPr>
  </w:style>
  <w:style w:type="paragraph" w:styleId="Aufzhlungszeichen5">
    <w:name w:val="List Bullet 5"/>
    <w:basedOn w:val="Standard"/>
    <w:autoRedefine/>
    <w:uiPriority w:val="99"/>
    <w:semiHidden/>
    <w:rsid w:val="001835F7"/>
    <w:pPr>
      <w:numPr>
        <w:numId w:val="10"/>
      </w:numPr>
    </w:pPr>
  </w:style>
  <w:style w:type="paragraph" w:styleId="Listenfortsetzung">
    <w:name w:val="List Continue"/>
    <w:basedOn w:val="Standard"/>
    <w:uiPriority w:val="99"/>
    <w:semiHidden/>
    <w:rsid w:val="001835F7"/>
    <w:pPr>
      <w:ind w:left="283"/>
    </w:pPr>
  </w:style>
  <w:style w:type="paragraph" w:styleId="Listenfortsetzung2">
    <w:name w:val="List Continue 2"/>
    <w:basedOn w:val="Standard"/>
    <w:uiPriority w:val="99"/>
    <w:semiHidden/>
    <w:rsid w:val="001835F7"/>
    <w:pPr>
      <w:ind w:left="566"/>
    </w:pPr>
  </w:style>
  <w:style w:type="paragraph" w:styleId="Listenfortsetzung3">
    <w:name w:val="List Continue 3"/>
    <w:basedOn w:val="Standard"/>
    <w:uiPriority w:val="99"/>
    <w:semiHidden/>
    <w:rsid w:val="001835F7"/>
    <w:pPr>
      <w:ind w:left="849"/>
    </w:pPr>
  </w:style>
  <w:style w:type="paragraph" w:styleId="Listenfortsetzung4">
    <w:name w:val="List Continue 4"/>
    <w:basedOn w:val="Standard"/>
    <w:uiPriority w:val="99"/>
    <w:semiHidden/>
    <w:rsid w:val="001835F7"/>
    <w:pPr>
      <w:ind w:left="1132"/>
    </w:pPr>
  </w:style>
  <w:style w:type="paragraph" w:styleId="Listenfortsetzung5">
    <w:name w:val="List Continue 5"/>
    <w:basedOn w:val="Standard"/>
    <w:uiPriority w:val="99"/>
    <w:semiHidden/>
    <w:rsid w:val="001835F7"/>
    <w:pPr>
      <w:ind w:left="1415"/>
    </w:pPr>
  </w:style>
  <w:style w:type="paragraph" w:styleId="Listennummer">
    <w:name w:val="List Number"/>
    <w:basedOn w:val="Standard"/>
    <w:uiPriority w:val="99"/>
    <w:semiHidden/>
    <w:rsid w:val="001835F7"/>
    <w:pPr>
      <w:numPr>
        <w:numId w:val="11"/>
      </w:numPr>
      <w:tabs>
        <w:tab w:val="clear" w:pos="360"/>
        <w:tab w:val="num" w:pos="1492"/>
      </w:tabs>
    </w:pPr>
  </w:style>
  <w:style w:type="paragraph" w:styleId="Listennummer2">
    <w:name w:val="List Number 2"/>
    <w:basedOn w:val="Standard"/>
    <w:uiPriority w:val="99"/>
    <w:semiHidden/>
    <w:rsid w:val="001835F7"/>
    <w:pPr>
      <w:numPr>
        <w:numId w:val="12"/>
      </w:numPr>
      <w:tabs>
        <w:tab w:val="clear" w:pos="643"/>
      </w:tabs>
    </w:pPr>
  </w:style>
  <w:style w:type="paragraph" w:styleId="Listennummer3">
    <w:name w:val="List Number 3"/>
    <w:basedOn w:val="Standard"/>
    <w:uiPriority w:val="99"/>
    <w:semiHidden/>
    <w:rsid w:val="001835F7"/>
    <w:pPr>
      <w:numPr>
        <w:numId w:val="13"/>
      </w:numPr>
      <w:tabs>
        <w:tab w:val="clear" w:pos="926"/>
      </w:tabs>
    </w:pPr>
  </w:style>
  <w:style w:type="paragraph" w:styleId="Listennummer4">
    <w:name w:val="List Number 4"/>
    <w:basedOn w:val="Standard"/>
    <w:uiPriority w:val="99"/>
    <w:semiHidden/>
    <w:rsid w:val="001835F7"/>
    <w:pPr>
      <w:numPr>
        <w:numId w:val="14"/>
      </w:numPr>
      <w:tabs>
        <w:tab w:val="clear" w:pos="1209"/>
        <w:tab w:val="num" w:pos="0"/>
      </w:tabs>
    </w:pPr>
  </w:style>
  <w:style w:type="paragraph" w:styleId="Listennummer5">
    <w:name w:val="List Number 5"/>
    <w:basedOn w:val="Standard"/>
    <w:uiPriority w:val="99"/>
    <w:semiHidden/>
    <w:rsid w:val="001835F7"/>
    <w:pPr>
      <w:numPr>
        <w:numId w:val="15"/>
      </w:numPr>
      <w:tabs>
        <w:tab w:val="clear" w:pos="1492"/>
        <w:tab w:val="num" w:pos="360"/>
      </w:tabs>
    </w:pPr>
  </w:style>
  <w:style w:type="paragraph" w:styleId="Makrotext">
    <w:name w:val="macro"/>
    <w:link w:val="MakrotextZchn"/>
    <w:uiPriority w:val="99"/>
    <w:semiHidden/>
    <w:rsid w:val="001835F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120" w:after="120"/>
      <w:jc w:val="both"/>
      <w:textAlignment w:val="baseline"/>
    </w:pPr>
    <w:rPr>
      <w:rFonts w:ascii="Courier New" w:eastAsia="Times New Roman" w:hAnsi="Courier New" w:cs="Courier New"/>
      <w:lang w:val="de-DE"/>
    </w:rPr>
  </w:style>
  <w:style w:type="character" w:customStyle="1" w:styleId="MakrotextZchn">
    <w:name w:val="Makrotext Zchn"/>
    <w:basedOn w:val="Absatz-Standardschriftart"/>
    <w:link w:val="Makrotext"/>
    <w:uiPriority w:val="99"/>
    <w:semiHidden/>
    <w:rsid w:val="001835F7"/>
    <w:rPr>
      <w:rFonts w:ascii="Courier New" w:eastAsia="Times New Roman" w:hAnsi="Courier New" w:cs="Courier New"/>
      <w:lang w:val="de-DE"/>
    </w:rPr>
  </w:style>
  <w:style w:type="paragraph" w:styleId="Nachrichtenkopf">
    <w:name w:val="Message Header"/>
    <w:basedOn w:val="Standard"/>
    <w:link w:val="NachrichtenkopfZchn"/>
    <w:uiPriority w:val="99"/>
    <w:semiHidden/>
    <w:rsid w:val="001835F7"/>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character" w:customStyle="1" w:styleId="NachrichtenkopfZchn">
    <w:name w:val="Nachrichtenkopf Zchn"/>
    <w:basedOn w:val="Absatz-Standardschriftart"/>
    <w:link w:val="Nachrichtenkopf"/>
    <w:uiPriority w:val="99"/>
    <w:semiHidden/>
    <w:rsid w:val="001835F7"/>
    <w:rPr>
      <w:szCs w:val="24"/>
      <w:shd w:val="pct20" w:color="auto" w:fill="auto"/>
      <w:lang w:val="de-DE"/>
    </w:rPr>
  </w:style>
  <w:style w:type="paragraph" w:styleId="StandardWeb">
    <w:name w:val="Normal (Web)"/>
    <w:basedOn w:val="Standard"/>
    <w:uiPriority w:val="99"/>
    <w:semiHidden/>
    <w:rsid w:val="001835F7"/>
    <w:rPr>
      <w:szCs w:val="24"/>
    </w:rPr>
  </w:style>
  <w:style w:type="paragraph" w:styleId="Standardeinzug">
    <w:name w:val="Normal Indent"/>
    <w:basedOn w:val="Standard"/>
    <w:uiPriority w:val="5"/>
    <w:semiHidden/>
    <w:rsid w:val="001835F7"/>
    <w:pPr>
      <w:ind w:left="720"/>
    </w:pPr>
  </w:style>
  <w:style w:type="paragraph" w:styleId="Fu-Endnotenberschrift">
    <w:name w:val="Note Heading"/>
    <w:basedOn w:val="Standard"/>
    <w:next w:val="Standard"/>
    <w:link w:val="Fu-EndnotenberschriftZchn"/>
    <w:uiPriority w:val="99"/>
    <w:semiHidden/>
    <w:rsid w:val="001835F7"/>
  </w:style>
  <w:style w:type="character" w:customStyle="1" w:styleId="Fu-EndnotenberschriftZchn">
    <w:name w:val="Fuß/-Endnotenüberschrift Zchn"/>
    <w:basedOn w:val="Absatz-Standardschriftart"/>
    <w:link w:val="Fu-Endnotenberschrift"/>
    <w:uiPriority w:val="99"/>
    <w:semiHidden/>
    <w:rsid w:val="001835F7"/>
    <w:rPr>
      <w:lang w:val="de-DE"/>
    </w:rPr>
  </w:style>
  <w:style w:type="paragraph" w:styleId="Anrede">
    <w:name w:val="Salutation"/>
    <w:basedOn w:val="Standard"/>
    <w:next w:val="Standard"/>
    <w:link w:val="AnredeZchn"/>
    <w:uiPriority w:val="3"/>
    <w:semiHidden/>
    <w:rsid w:val="001835F7"/>
  </w:style>
  <w:style w:type="character" w:customStyle="1" w:styleId="AnredeZchn">
    <w:name w:val="Anrede Zchn"/>
    <w:basedOn w:val="Absatz-Standardschriftart"/>
    <w:link w:val="Anrede"/>
    <w:uiPriority w:val="3"/>
    <w:semiHidden/>
    <w:rsid w:val="001835F7"/>
    <w:rPr>
      <w:lang w:val="de-DE"/>
    </w:rPr>
  </w:style>
  <w:style w:type="paragraph" w:styleId="Unterschrift">
    <w:name w:val="Signature"/>
    <w:basedOn w:val="Standard"/>
    <w:link w:val="UnterschriftZchn"/>
    <w:uiPriority w:val="3"/>
    <w:semiHidden/>
    <w:rsid w:val="001835F7"/>
    <w:pPr>
      <w:ind w:left="4252"/>
    </w:pPr>
  </w:style>
  <w:style w:type="character" w:customStyle="1" w:styleId="UnterschriftZchn">
    <w:name w:val="Unterschrift Zchn"/>
    <w:basedOn w:val="Absatz-Standardschriftart"/>
    <w:link w:val="Unterschrift"/>
    <w:uiPriority w:val="3"/>
    <w:semiHidden/>
    <w:rsid w:val="001835F7"/>
    <w:rPr>
      <w:lang w:val="de-DE"/>
    </w:rPr>
  </w:style>
  <w:style w:type="character" w:styleId="Fett">
    <w:name w:val="Strong"/>
    <w:basedOn w:val="Absatz-Standardschriftart"/>
    <w:uiPriority w:val="22"/>
    <w:qFormat/>
    <w:rsid w:val="001835F7"/>
    <w:rPr>
      <w:b/>
      <w:bCs/>
      <w:lang w:val="de-DE"/>
    </w:rPr>
  </w:style>
  <w:style w:type="paragraph" w:styleId="Untertitel">
    <w:name w:val="Subtitle"/>
    <w:basedOn w:val="Standard"/>
    <w:link w:val="UntertitelZchn"/>
    <w:uiPriority w:val="3"/>
    <w:semiHidden/>
    <w:qFormat/>
    <w:rsid w:val="001835F7"/>
    <w:pPr>
      <w:spacing w:after="60"/>
      <w:jc w:val="center"/>
      <w:outlineLvl w:val="1"/>
    </w:pPr>
    <w:rPr>
      <w:szCs w:val="24"/>
    </w:rPr>
  </w:style>
  <w:style w:type="character" w:customStyle="1" w:styleId="UntertitelZchn">
    <w:name w:val="Untertitel Zchn"/>
    <w:basedOn w:val="Absatz-Standardschriftart"/>
    <w:link w:val="Untertitel"/>
    <w:uiPriority w:val="3"/>
    <w:semiHidden/>
    <w:rsid w:val="001835F7"/>
    <w:rPr>
      <w:szCs w:val="24"/>
      <w:lang w:val="de-DE"/>
    </w:rPr>
  </w:style>
  <w:style w:type="table" w:customStyle="1" w:styleId="GridTable2-Accent21">
    <w:name w:val="Grid Table 2 - Accent 21"/>
    <w:basedOn w:val="NormaleTabelle"/>
    <w:uiPriority w:val="47"/>
    <w:rsid w:val="001835F7"/>
    <w:tblPr>
      <w:tblStyleRowBandSize w:val="1"/>
      <w:tblStyleColBandSize w:val="1"/>
      <w:tblBorders>
        <w:top w:val="single" w:sz="2" w:space="0" w:color="CACACA" w:themeColor="accent2" w:themeTint="99"/>
        <w:bottom w:val="single" w:sz="2" w:space="0" w:color="CACACA" w:themeColor="accent2" w:themeTint="99"/>
        <w:insideH w:val="single" w:sz="2" w:space="0" w:color="CACACA" w:themeColor="accent2" w:themeTint="99"/>
        <w:insideV w:val="single" w:sz="2" w:space="0" w:color="CACACA" w:themeColor="accent2" w:themeTint="99"/>
      </w:tblBorders>
    </w:tblPr>
    <w:tblStylePr w:type="firstRow">
      <w:rPr>
        <w:b/>
        <w:bCs/>
      </w:rPr>
      <w:tblPr/>
      <w:tcPr>
        <w:tcBorders>
          <w:top w:val="nil"/>
          <w:bottom w:val="single" w:sz="12" w:space="0" w:color="CACACA" w:themeColor="accent2" w:themeTint="99"/>
          <w:insideH w:val="nil"/>
          <w:insideV w:val="nil"/>
        </w:tcBorders>
        <w:shd w:val="clear" w:color="auto" w:fill="FFFFFF" w:themeFill="background1"/>
      </w:tcPr>
    </w:tblStylePr>
    <w:tblStylePr w:type="lastRow">
      <w:rPr>
        <w:b/>
        <w:bCs/>
      </w:rPr>
      <w:tblPr/>
      <w:tcPr>
        <w:tcBorders>
          <w:top w:val="double" w:sz="2" w:space="0" w:color="CACAC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paragraph" w:styleId="Rechtsgrundlagenverzeichnis">
    <w:name w:val="table of authorities"/>
    <w:basedOn w:val="Standard"/>
    <w:next w:val="Standard"/>
    <w:uiPriority w:val="99"/>
    <w:semiHidden/>
    <w:rsid w:val="001835F7"/>
    <w:pPr>
      <w:ind w:left="240" w:hanging="240"/>
    </w:pPr>
  </w:style>
  <w:style w:type="paragraph" w:styleId="Abbildungsverzeichnis">
    <w:name w:val="table of figures"/>
    <w:basedOn w:val="Standard"/>
    <w:next w:val="Standard"/>
    <w:uiPriority w:val="99"/>
    <w:semiHidden/>
    <w:rsid w:val="001835F7"/>
    <w:pPr>
      <w:ind w:left="480" w:hanging="480"/>
    </w:pPr>
  </w:style>
  <w:style w:type="paragraph" w:styleId="Titel">
    <w:name w:val="Title"/>
    <w:basedOn w:val="Standard"/>
    <w:link w:val="TitelZchn"/>
    <w:uiPriority w:val="3"/>
    <w:semiHidden/>
    <w:qFormat/>
    <w:rsid w:val="001835F7"/>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3"/>
    <w:semiHidden/>
    <w:rsid w:val="001835F7"/>
    <w:rPr>
      <w:b/>
      <w:bCs/>
      <w:kern w:val="28"/>
      <w:sz w:val="32"/>
      <w:szCs w:val="32"/>
      <w:lang w:val="de-DE"/>
    </w:rPr>
  </w:style>
  <w:style w:type="paragraph" w:styleId="RGV-berschrift">
    <w:name w:val="toa heading"/>
    <w:basedOn w:val="Standard"/>
    <w:next w:val="Standard"/>
    <w:uiPriority w:val="4"/>
    <w:semiHidden/>
    <w:rsid w:val="001835F7"/>
    <w:rPr>
      <w:b/>
      <w:bCs/>
      <w:szCs w:val="24"/>
    </w:rPr>
  </w:style>
  <w:style w:type="paragraph" w:styleId="Verzeichnis1">
    <w:name w:val="toc 1"/>
    <w:basedOn w:val="Standard"/>
    <w:next w:val="Standard"/>
    <w:uiPriority w:val="39"/>
    <w:rsid w:val="001835F7"/>
    <w:pPr>
      <w:keepNext/>
      <w:suppressLineNumbers/>
      <w:tabs>
        <w:tab w:val="right" w:leader="dot" w:pos="8505"/>
      </w:tabs>
      <w:overflowPunct/>
      <w:autoSpaceDE/>
      <w:autoSpaceDN/>
      <w:adjustRightInd/>
      <w:spacing w:before="80" w:after="80" w:line="240" w:lineRule="exact"/>
      <w:ind w:right="851"/>
      <w:jc w:val="left"/>
      <w:textAlignment w:val="auto"/>
    </w:pPr>
    <w:rPr>
      <w:rFonts w:ascii="Arial" w:eastAsia="Times New Roman" w:hAnsi="Arial" w:cs="Times New Roman"/>
      <w:b/>
      <w:szCs w:val="24"/>
      <w:lang w:eastAsia="de-DE"/>
    </w:rPr>
  </w:style>
  <w:style w:type="paragraph" w:styleId="Verzeichnis2">
    <w:name w:val="toc 2"/>
    <w:basedOn w:val="Verzeichnis1"/>
    <w:next w:val="Standard"/>
    <w:uiPriority w:val="39"/>
    <w:rsid w:val="001835F7"/>
    <w:pPr>
      <w:keepNext w:val="0"/>
      <w:keepLines/>
      <w:ind w:left="964" w:hanging="964"/>
    </w:pPr>
    <w:rPr>
      <w:b w:val="0"/>
    </w:rPr>
  </w:style>
  <w:style w:type="paragraph" w:styleId="Verzeichnis3">
    <w:name w:val="toc 3"/>
    <w:basedOn w:val="Verzeichnis2"/>
    <w:next w:val="Standard"/>
    <w:uiPriority w:val="39"/>
    <w:rsid w:val="001835F7"/>
    <w:pPr>
      <w:spacing w:before="0" w:after="0"/>
    </w:pPr>
  </w:style>
  <w:style w:type="paragraph" w:styleId="Verzeichnis4">
    <w:name w:val="toc 4"/>
    <w:basedOn w:val="Verzeichnis3"/>
    <w:next w:val="Standard"/>
    <w:uiPriority w:val="39"/>
    <w:rsid w:val="001835F7"/>
  </w:style>
  <w:style w:type="paragraph" w:styleId="Verzeichnis5">
    <w:name w:val="toc 5"/>
    <w:basedOn w:val="Verzeichnis4"/>
    <w:next w:val="Standard"/>
    <w:uiPriority w:val="39"/>
    <w:rsid w:val="001835F7"/>
  </w:style>
  <w:style w:type="paragraph" w:styleId="Verzeichnis6">
    <w:name w:val="toc 6"/>
    <w:basedOn w:val="Verzeichnis5"/>
    <w:next w:val="Standard"/>
    <w:uiPriority w:val="39"/>
    <w:rsid w:val="001835F7"/>
  </w:style>
  <w:style w:type="paragraph" w:styleId="Verzeichnis7">
    <w:name w:val="toc 7"/>
    <w:basedOn w:val="Verzeichnis6"/>
    <w:next w:val="Standard"/>
    <w:uiPriority w:val="39"/>
    <w:rsid w:val="001835F7"/>
  </w:style>
  <w:style w:type="paragraph" w:styleId="Verzeichnis8">
    <w:name w:val="toc 8"/>
    <w:basedOn w:val="Verzeichnis7"/>
    <w:next w:val="Standard"/>
    <w:uiPriority w:val="39"/>
    <w:rsid w:val="001835F7"/>
  </w:style>
  <w:style w:type="paragraph" w:styleId="Verzeichnis9">
    <w:name w:val="toc 9"/>
    <w:basedOn w:val="Verzeichnis8"/>
    <w:next w:val="Standard"/>
    <w:uiPriority w:val="39"/>
    <w:rsid w:val="001835F7"/>
  </w:style>
  <w:style w:type="paragraph" w:customStyle="1" w:styleId="DocumentDated">
    <w:name w:val="Document Dated"/>
    <w:basedOn w:val="Standard"/>
    <w:uiPriority w:val="99"/>
    <w:semiHidden/>
    <w:rsid w:val="001835F7"/>
    <w:pPr>
      <w:tabs>
        <w:tab w:val="right" w:pos="4320"/>
      </w:tabs>
      <w:spacing w:after="240"/>
      <w:ind w:left="1980"/>
    </w:pPr>
    <w:rPr>
      <w:b/>
      <w:sz w:val="30"/>
    </w:rPr>
  </w:style>
  <w:style w:type="paragraph" w:customStyle="1" w:styleId="DocumentHeader">
    <w:name w:val="Document Header"/>
    <w:basedOn w:val="Standard"/>
    <w:next w:val="berschrift1"/>
    <w:uiPriority w:val="99"/>
    <w:semiHidden/>
    <w:rsid w:val="001835F7"/>
    <w:pPr>
      <w:spacing w:after="240"/>
      <w:jc w:val="center"/>
    </w:pPr>
    <w:rPr>
      <w:b/>
      <w:sz w:val="30"/>
    </w:rPr>
  </w:style>
  <w:style w:type="paragraph" w:customStyle="1" w:styleId="Recital">
    <w:name w:val="Recital"/>
    <w:basedOn w:val="Textkrper"/>
    <w:uiPriority w:val="99"/>
    <w:semiHidden/>
    <w:rsid w:val="001835F7"/>
    <w:pPr>
      <w:numPr>
        <w:numId w:val="17"/>
      </w:numPr>
      <w:tabs>
        <w:tab w:val="clear" w:pos="0"/>
        <w:tab w:val="num" w:pos="360"/>
      </w:tabs>
    </w:pPr>
  </w:style>
  <w:style w:type="paragraph" w:customStyle="1" w:styleId="Num123">
    <w:name w:val="Num_123"/>
    <w:basedOn w:val="Textkrper"/>
    <w:qFormat/>
    <w:rsid w:val="001835F7"/>
    <w:pPr>
      <w:numPr>
        <w:numId w:val="16"/>
      </w:numPr>
      <w:overflowPunct/>
      <w:autoSpaceDE/>
      <w:autoSpaceDN/>
      <w:adjustRightInd/>
      <w:textAlignment w:val="auto"/>
    </w:pPr>
    <w:rPr>
      <w:rFonts w:ascii="Arial" w:eastAsia="Times New Roman" w:hAnsi="Arial" w:cs="Times New Roman"/>
      <w:szCs w:val="24"/>
      <w:lang w:eastAsia="de-DE"/>
    </w:rPr>
  </w:style>
  <w:style w:type="paragraph" w:customStyle="1" w:styleId="Numaa">
    <w:name w:val="Num_aa"/>
    <w:basedOn w:val="Textkrper"/>
    <w:qFormat/>
    <w:rsid w:val="001835F7"/>
    <w:pPr>
      <w:numPr>
        <w:ilvl w:val="2"/>
        <w:numId w:val="16"/>
      </w:numPr>
      <w:overflowPunct/>
      <w:autoSpaceDE/>
      <w:autoSpaceDN/>
      <w:adjustRightInd/>
      <w:textAlignment w:val="auto"/>
    </w:pPr>
    <w:rPr>
      <w:rFonts w:ascii="Arial" w:eastAsia="Times New Roman" w:hAnsi="Arial" w:cs="Times New Roman"/>
      <w:szCs w:val="24"/>
      <w:lang w:eastAsia="de-DE"/>
    </w:rPr>
  </w:style>
  <w:style w:type="paragraph" w:customStyle="1" w:styleId="Numabc">
    <w:name w:val="Num_abc"/>
    <w:basedOn w:val="Textkrper"/>
    <w:qFormat/>
    <w:rsid w:val="001835F7"/>
    <w:pPr>
      <w:numPr>
        <w:ilvl w:val="1"/>
        <w:numId w:val="16"/>
      </w:numPr>
      <w:overflowPunct/>
      <w:autoSpaceDE/>
      <w:autoSpaceDN/>
      <w:adjustRightInd/>
      <w:textAlignment w:val="auto"/>
    </w:pPr>
    <w:rPr>
      <w:rFonts w:ascii="Arial" w:eastAsia="Times New Roman" w:hAnsi="Arial" w:cs="Times New Roman"/>
      <w:szCs w:val="24"/>
      <w:lang w:eastAsia="de-DE"/>
    </w:rPr>
  </w:style>
  <w:style w:type="paragraph" w:customStyle="1" w:styleId="Zitat1">
    <w:name w:val="Zitat1"/>
    <w:basedOn w:val="Textkrper"/>
    <w:uiPriority w:val="2"/>
    <w:qFormat/>
    <w:rsid w:val="001835F7"/>
    <w:pPr>
      <w:overflowPunct/>
      <w:autoSpaceDE/>
      <w:autoSpaceDN/>
      <w:adjustRightInd/>
      <w:ind w:left="794"/>
      <w:textAlignment w:val="auto"/>
    </w:pPr>
    <w:rPr>
      <w:rFonts w:ascii="Arial" w:eastAsia="Times New Roman" w:hAnsi="Arial" w:cs="Times New Roman"/>
      <w:i/>
      <w:szCs w:val="24"/>
      <w:lang w:eastAsia="de-DE"/>
    </w:rPr>
  </w:style>
  <w:style w:type="paragraph" w:customStyle="1" w:styleId="Zitat2">
    <w:name w:val="Zitat 2"/>
    <w:basedOn w:val="Textkrper"/>
    <w:uiPriority w:val="2"/>
    <w:qFormat/>
    <w:rsid w:val="001835F7"/>
    <w:pPr>
      <w:overflowPunct/>
      <w:autoSpaceDE/>
      <w:autoSpaceDN/>
      <w:adjustRightInd/>
      <w:ind w:left="1418"/>
      <w:textAlignment w:val="auto"/>
    </w:pPr>
    <w:rPr>
      <w:rFonts w:ascii="Arial" w:eastAsia="Times New Roman" w:hAnsi="Arial" w:cs="Times New Roman"/>
      <w:i/>
      <w:szCs w:val="24"/>
      <w:lang w:eastAsia="de-DE"/>
    </w:rPr>
  </w:style>
  <w:style w:type="paragraph" w:customStyle="1" w:styleId="Beweis">
    <w:name w:val="Beweis"/>
    <w:basedOn w:val="Textkrper"/>
    <w:next w:val="Textkrper"/>
    <w:uiPriority w:val="2"/>
    <w:rsid w:val="001835F7"/>
    <w:pPr>
      <w:numPr>
        <w:numId w:val="1"/>
      </w:numPr>
      <w:tabs>
        <w:tab w:val="left" w:pos="1418"/>
      </w:tabs>
      <w:overflowPunct/>
      <w:autoSpaceDE/>
      <w:autoSpaceDN/>
      <w:adjustRightInd/>
      <w:spacing w:before="0" w:after="200" w:line="400" w:lineRule="exact"/>
      <w:jc w:val="left"/>
      <w:textAlignment w:val="auto"/>
    </w:pPr>
    <w:rPr>
      <w:rFonts w:ascii="Arial" w:eastAsia="Times New Roman" w:hAnsi="Arial" w:cs="Times New Roman"/>
      <w:kern w:val="22"/>
      <w:szCs w:val="24"/>
      <w:lang w:eastAsia="de-DE"/>
    </w:rPr>
  </w:style>
  <w:style w:type="paragraph" w:styleId="Literaturverzeichnis">
    <w:name w:val="Bibliography"/>
    <w:basedOn w:val="Standard"/>
    <w:next w:val="Standard"/>
    <w:uiPriority w:val="99"/>
    <w:semiHidden/>
    <w:rsid w:val="001835F7"/>
  </w:style>
  <w:style w:type="character" w:styleId="Buchtitel">
    <w:name w:val="Book Title"/>
    <w:basedOn w:val="Absatz-Standardschriftart"/>
    <w:uiPriority w:val="99"/>
    <w:semiHidden/>
    <w:qFormat/>
    <w:rsid w:val="001835F7"/>
    <w:rPr>
      <w:b/>
      <w:bCs/>
      <w:i/>
      <w:iCs/>
      <w:spacing w:val="5"/>
      <w:lang w:val="de-DE"/>
    </w:rPr>
  </w:style>
  <w:style w:type="paragraph" w:customStyle="1" w:styleId="BulletPunkt">
    <w:name w:val="Bullet_Punkt"/>
    <w:basedOn w:val="Standard"/>
    <w:uiPriority w:val="1"/>
    <w:qFormat/>
    <w:rsid w:val="001835F7"/>
    <w:pPr>
      <w:numPr>
        <w:numId w:val="2"/>
      </w:numPr>
      <w:overflowPunct/>
      <w:autoSpaceDE/>
      <w:autoSpaceDN/>
      <w:adjustRightInd/>
      <w:textAlignment w:val="auto"/>
    </w:pPr>
    <w:rPr>
      <w:rFonts w:ascii="Arial" w:eastAsia="Times New Roman" w:hAnsi="Arial" w:cs="Times New Roman"/>
      <w:szCs w:val="24"/>
      <w:lang w:eastAsia="de-DE"/>
    </w:rPr>
  </w:style>
  <w:style w:type="paragraph" w:customStyle="1" w:styleId="BulletStrich">
    <w:name w:val="Bullet_Strich"/>
    <w:basedOn w:val="Standard"/>
    <w:uiPriority w:val="1"/>
    <w:qFormat/>
    <w:rsid w:val="001835F7"/>
    <w:pPr>
      <w:numPr>
        <w:numId w:val="3"/>
      </w:numPr>
      <w:overflowPunct/>
      <w:autoSpaceDE/>
      <w:autoSpaceDN/>
      <w:adjustRightInd/>
      <w:textAlignment w:val="auto"/>
    </w:pPr>
    <w:rPr>
      <w:rFonts w:ascii="Arial" w:eastAsia="Times New Roman" w:hAnsi="Arial" w:cs="Times New Roman"/>
      <w:szCs w:val="24"/>
      <w:lang w:eastAsia="de-DE"/>
    </w:rPr>
  </w:style>
  <w:style w:type="table" w:styleId="FarbigesRaster">
    <w:name w:val="Colorful Grid"/>
    <w:basedOn w:val="NormaleTabelle"/>
    <w:uiPriority w:val="73"/>
    <w:semiHidden/>
    <w:unhideWhenUsed/>
    <w:rsid w:val="001835F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1835F7"/>
    <w:rPr>
      <w:color w:val="000000" w:themeColor="text1"/>
    </w:rPr>
    <w:tblPr>
      <w:tblStyleRowBandSize w:val="1"/>
      <w:tblStyleColBandSize w:val="1"/>
      <w:tblBorders>
        <w:insideH w:val="single" w:sz="4" w:space="0" w:color="FFFFFF" w:themeColor="background1"/>
      </w:tblBorders>
    </w:tblPr>
    <w:tcPr>
      <w:shd w:val="clear" w:color="auto" w:fill="DEF0F5" w:themeFill="accent1" w:themeFillTint="33"/>
    </w:tcPr>
    <w:tblStylePr w:type="firstRow">
      <w:rPr>
        <w:b/>
        <w:bCs/>
      </w:rPr>
      <w:tblPr/>
      <w:tcPr>
        <w:shd w:val="clear" w:color="auto" w:fill="BEE2EB" w:themeFill="accent1" w:themeFillTint="66"/>
      </w:tcPr>
    </w:tblStylePr>
    <w:tblStylePr w:type="lastRow">
      <w:rPr>
        <w:b/>
        <w:bCs/>
        <w:color w:val="000000" w:themeColor="text1"/>
      </w:rPr>
      <w:tblPr/>
      <w:tcPr>
        <w:shd w:val="clear" w:color="auto" w:fill="BEE2EB" w:themeFill="accent1" w:themeFillTint="66"/>
      </w:tcPr>
    </w:tblStylePr>
    <w:tblStylePr w:type="firstCol">
      <w:rPr>
        <w:color w:val="FFFFFF" w:themeColor="background1"/>
      </w:rPr>
      <w:tblPr/>
      <w:tcPr>
        <w:shd w:val="clear" w:color="auto" w:fill="3395AD" w:themeFill="accent1" w:themeFillShade="BF"/>
      </w:tcPr>
    </w:tblStylePr>
    <w:tblStylePr w:type="lastCol">
      <w:rPr>
        <w:color w:val="FFFFFF" w:themeColor="background1"/>
      </w:rPr>
      <w:tblPr/>
      <w:tcPr>
        <w:shd w:val="clear" w:color="auto" w:fill="3395AD" w:themeFill="accent1" w:themeFillShade="BF"/>
      </w:tcPr>
    </w:tblStylePr>
    <w:tblStylePr w:type="band1Vert">
      <w:tblPr/>
      <w:tcPr>
        <w:shd w:val="clear" w:color="auto" w:fill="AEDCE7" w:themeFill="accent1" w:themeFillTint="7F"/>
      </w:tcPr>
    </w:tblStylePr>
    <w:tblStylePr w:type="band1Horz">
      <w:tblPr/>
      <w:tcPr>
        <w:shd w:val="clear" w:color="auto" w:fill="AEDCE7" w:themeFill="accent1" w:themeFillTint="7F"/>
      </w:tcPr>
    </w:tblStylePr>
  </w:style>
  <w:style w:type="table" w:styleId="FarbigesRaster-Akzent2">
    <w:name w:val="Colorful Grid Accent 2"/>
    <w:basedOn w:val="NormaleTabelle"/>
    <w:uiPriority w:val="73"/>
    <w:semiHidden/>
    <w:unhideWhenUsed/>
    <w:rsid w:val="001835F7"/>
    <w:rPr>
      <w:color w:val="000000" w:themeColor="text1"/>
    </w:rPr>
    <w:tblPr>
      <w:tblStyleRowBandSize w:val="1"/>
      <w:tblStyleColBandSize w:val="1"/>
      <w:tblBorders>
        <w:insideH w:val="single" w:sz="4" w:space="0" w:color="FFFFFF" w:themeColor="background1"/>
      </w:tblBorders>
    </w:tblPr>
    <w:tcPr>
      <w:shd w:val="clear" w:color="auto" w:fill="EDEDED" w:themeFill="accent2" w:themeFillTint="33"/>
    </w:tcPr>
    <w:tblStylePr w:type="firstRow">
      <w:rPr>
        <w:b/>
        <w:bCs/>
      </w:rPr>
      <w:tblPr/>
      <w:tcPr>
        <w:shd w:val="clear" w:color="auto" w:fill="DCDCDC" w:themeFill="accent2" w:themeFillTint="66"/>
      </w:tcPr>
    </w:tblStylePr>
    <w:tblStylePr w:type="lastRow">
      <w:rPr>
        <w:b/>
        <w:bCs/>
        <w:color w:val="000000" w:themeColor="text1"/>
      </w:rPr>
      <w:tblPr/>
      <w:tcPr>
        <w:shd w:val="clear" w:color="auto" w:fill="DCDCDC" w:themeFill="accent2" w:themeFillTint="66"/>
      </w:tcPr>
    </w:tblStylePr>
    <w:tblStylePr w:type="firstCol">
      <w:rPr>
        <w:color w:val="FFFFFF" w:themeColor="background1"/>
      </w:rPr>
      <w:tblPr/>
      <w:tcPr>
        <w:shd w:val="clear" w:color="auto" w:fill="7D7D7D" w:themeFill="accent2" w:themeFillShade="BF"/>
      </w:tcPr>
    </w:tblStylePr>
    <w:tblStylePr w:type="lastCol">
      <w:rPr>
        <w:color w:val="FFFFFF" w:themeColor="background1"/>
      </w:rPr>
      <w:tblPr/>
      <w:tcPr>
        <w:shd w:val="clear" w:color="auto" w:fill="7D7D7D" w:themeFill="accent2" w:themeFillShade="BF"/>
      </w:tcPr>
    </w:tblStylePr>
    <w:tblStylePr w:type="band1Vert">
      <w:tblPr/>
      <w:tcPr>
        <w:shd w:val="clear" w:color="auto" w:fill="D3D3D3" w:themeFill="accent2" w:themeFillTint="7F"/>
      </w:tcPr>
    </w:tblStylePr>
    <w:tblStylePr w:type="band1Horz">
      <w:tblPr/>
      <w:tcPr>
        <w:shd w:val="clear" w:color="auto" w:fill="D3D3D3" w:themeFill="accent2" w:themeFillTint="7F"/>
      </w:tcPr>
    </w:tblStylePr>
  </w:style>
  <w:style w:type="table" w:styleId="FarbigesRaster-Akzent3">
    <w:name w:val="Colorful Grid Accent 3"/>
    <w:basedOn w:val="NormaleTabelle"/>
    <w:uiPriority w:val="73"/>
    <w:semiHidden/>
    <w:unhideWhenUsed/>
    <w:rsid w:val="001835F7"/>
    <w:rPr>
      <w:color w:val="000000" w:themeColor="text1"/>
    </w:rPr>
    <w:tblPr>
      <w:tblStyleRowBandSize w:val="1"/>
      <w:tblStyleColBandSize w:val="1"/>
      <w:tblBorders>
        <w:insideH w:val="single" w:sz="4" w:space="0" w:color="FFFFFF" w:themeColor="background1"/>
      </w:tblBorders>
    </w:tblPr>
    <w:tcPr>
      <w:shd w:val="clear" w:color="auto" w:fill="E3EFEB" w:themeFill="accent3" w:themeFillTint="33"/>
    </w:tcPr>
    <w:tblStylePr w:type="firstRow">
      <w:rPr>
        <w:b/>
        <w:bCs/>
      </w:rPr>
      <w:tblPr/>
      <w:tcPr>
        <w:shd w:val="clear" w:color="auto" w:fill="C7E0D7" w:themeFill="accent3" w:themeFillTint="66"/>
      </w:tcPr>
    </w:tblStylePr>
    <w:tblStylePr w:type="lastRow">
      <w:rPr>
        <w:b/>
        <w:bCs/>
        <w:color w:val="000000" w:themeColor="text1"/>
      </w:rPr>
      <w:tblPr/>
      <w:tcPr>
        <w:shd w:val="clear" w:color="auto" w:fill="C7E0D7" w:themeFill="accent3" w:themeFillTint="66"/>
      </w:tcPr>
    </w:tblStylePr>
    <w:tblStylePr w:type="firstCol">
      <w:rPr>
        <w:color w:val="FFFFFF" w:themeColor="background1"/>
      </w:rPr>
      <w:tblPr/>
      <w:tcPr>
        <w:shd w:val="clear" w:color="auto" w:fill="4E8E77" w:themeFill="accent3" w:themeFillShade="BF"/>
      </w:tcPr>
    </w:tblStylePr>
    <w:tblStylePr w:type="lastCol">
      <w:rPr>
        <w:color w:val="FFFFFF" w:themeColor="background1"/>
      </w:rPr>
      <w:tblPr/>
      <w:tcPr>
        <w:shd w:val="clear" w:color="auto" w:fill="4E8E77" w:themeFill="accent3" w:themeFillShade="BF"/>
      </w:tcPr>
    </w:tblStylePr>
    <w:tblStylePr w:type="band1Vert">
      <w:tblPr/>
      <w:tcPr>
        <w:shd w:val="clear" w:color="auto" w:fill="BAD9CE" w:themeFill="accent3" w:themeFillTint="7F"/>
      </w:tcPr>
    </w:tblStylePr>
    <w:tblStylePr w:type="band1Horz">
      <w:tblPr/>
      <w:tcPr>
        <w:shd w:val="clear" w:color="auto" w:fill="BAD9CE" w:themeFill="accent3" w:themeFillTint="7F"/>
      </w:tcPr>
    </w:tblStylePr>
  </w:style>
  <w:style w:type="table" w:styleId="FarbigesRaster-Akzent4">
    <w:name w:val="Colorful Grid Accent 4"/>
    <w:basedOn w:val="NormaleTabelle"/>
    <w:uiPriority w:val="73"/>
    <w:semiHidden/>
    <w:unhideWhenUsed/>
    <w:rsid w:val="001835F7"/>
    <w:rPr>
      <w:color w:val="000000" w:themeColor="text1"/>
    </w:rPr>
    <w:tblPr>
      <w:tblStyleRowBandSize w:val="1"/>
      <w:tblStyleColBandSize w:val="1"/>
      <w:tblBorders>
        <w:insideH w:val="single" w:sz="4" w:space="0" w:color="FFFFFF" w:themeColor="background1"/>
      </w:tblBorders>
    </w:tblPr>
    <w:tcPr>
      <w:shd w:val="clear" w:color="auto" w:fill="F3C5CC" w:themeFill="accent4" w:themeFillTint="33"/>
    </w:tcPr>
    <w:tblStylePr w:type="firstRow">
      <w:rPr>
        <w:b/>
        <w:bCs/>
      </w:rPr>
      <w:tblPr/>
      <w:tcPr>
        <w:shd w:val="clear" w:color="auto" w:fill="E88B9A" w:themeFill="accent4" w:themeFillTint="66"/>
      </w:tcPr>
    </w:tblStylePr>
    <w:tblStylePr w:type="lastRow">
      <w:rPr>
        <w:b/>
        <w:bCs/>
        <w:color w:val="000000" w:themeColor="text1"/>
      </w:rPr>
      <w:tblPr/>
      <w:tcPr>
        <w:shd w:val="clear" w:color="auto" w:fill="E88B9A" w:themeFill="accent4" w:themeFillTint="66"/>
      </w:tcPr>
    </w:tblStylePr>
    <w:tblStylePr w:type="firstCol">
      <w:rPr>
        <w:color w:val="FFFFFF" w:themeColor="background1"/>
      </w:rPr>
      <w:tblPr/>
      <w:tcPr>
        <w:shd w:val="clear" w:color="auto" w:fill="661421" w:themeFill="accent4" w:themeFillShade="BF"/>
      </w:tcPr>
    </w:tblStylePr>
    <w:tblStylePr w:type="lastCol">
      <w:rPr>
        <w:color w:val="FFFFFF" w:themeColor="background1"/>
      </w:rPr>
      <w:tblPr/>
      <w:tcPr>
        <w:shd w:val="clear" w:color="auto" w:fill="661421" w:themeFill="accent4" w:themeFillShade="BF"/>
      </w:tcPr>
    </w:tblStylePr>
    <w:tblStylePr w:type="band1Vert">
      <w:tblPr/>
      <w:tcPr>
        <w:shd w:val="clear" w:color="auto" w:fill="E26F81" w:themeFill="accent4" w:themeFillTint="7F"/>
      </w:tcPr>
    </w:tblStylePr>
    <w:tblStylePr w:type="band1Horz">
      <w:tblPr/>
      <w:tcPr>
        <w:shd w:val="clear" w:color="auto" w:fill="E26F81" w:themeFill="accent4" w:themeFillTint="7F"/>
      </w:tcPr>
    </w:tblStylePr>
  </w:style>
  <w:style w:type="table" w:styleId="FarbigesRaster-Akzent5">
    <w:name w:val="Colorful Grid Accent 5"/>
    <w:basedOn w:val="NormaleTabelle"/>
    <w:uiPriority w:val="73"/>
    <w:semiHidden/>
    <w:unhideWhenUsed/>
    <w:rsid w:val="001835F7"/>
    <w:rPr>
      <w:color w:val="000000" w:themeColor="text1"/>
    </w:rPr>
    <w:tblPr>
      <w:tblStyleRowBandSize w:val="1"/>
      <w:tblStyleColBandSize w:val="1"/>
      <w:tblBorders>
        <w:insideH w:val="single" w:sz="4" w:space="0" w:color="FFFFFF" w:themeColor="background1"/>
      </w:tblBorders>
    </w:tblPr>
    <w:tcPr>
      <w:shd w:val="clear" w:color="auto" w:fill="E7EAC7" w:themeFill="accent5" w:themeFillTint="33"/>
    </w:tcPr>
    <w:tblStylePr w:type="firstRow">
      <w:rPr>
        <w:b/>
        <w:bCs/>
      </w:rPr>
      <w:tblPr/>
      <w:tcPr>
        <w:shd w:val="clear" w:color="auto" w:fill="CFD690" w:themeFill="accent5" w:themeFillTint="66"/>
      </w:tcPr>
    </w:tblStylePr>
    <w:tblStylePr w:type="lastRow">
      <w:rPr>
        <w:b/>
        <w:bCs/>
        <w:color w:val="000000" w:themeColor="text1"/>
      </w:rPr>
      <w:tblPr/>
      <w:tcPr>
        <w:shd w:val="clear" w:color="auto" w:fill="CFD690" w:themeFill="accent5" w:themeFillTint="66"/>
      </w:tcPr>
    </w:tblStylePr>
    <w:tblStylePr w:type="firstCol">
      <w:rPr>
        <w:color w:val="FFFFFF" w:themeColor="background1"/>
      </w:rPr>
      <w:tblPr/>
      <w:tcPr>
        <w:shd w:val="clear" w:color="auto" w:fill="44491B" w:themeFill="accent5" w:themeFillShade="BF"/>
      </w:tcPr>
    </w:tblStylePr>
    <w:tblStylePr w:type="lastCol">
      <w:rPr>
        <w:color w:val="FFFFFF" w:themeColor="background1"/>
      </w:rPr>
      <w:tblPr/>
      <w:tcPr>
        <w:shd w:val="clear" w:color="auto" w:fill="44491B" w:themeFill="accent5" w:themeFillShade="BF"/>
      </w:tcPr>
    </w:tblStylePr>
    <w:tblStylePr w:type="band1Vert">
      <w:tblPr/>
      <w:tcPr>
        <w:shd w:val="clear" w:color="auto" w:fill="C4CC76" w:themeFill="accent5" w:themeFillTint="7F"/>
      </w:tcPr>
    </w:tblStylePr>
    <w:tblStylePr w:type="band1Horz">
      <w:tblPr/>
      <w:tcPr>
        <w:shd w:val="clear" w:color="auto" w:fill="C4CC76" w:themeFill="accent5" w:themeFillTint="7F"/>
      </w:tcPr>
    </w:tblStylePr>
  </w:style>
  <w:style w:type="table" w:styleId="FarbigesRaster-Akzent6">
    <w:name w:val="Colorful Grid Accent 6"/>
    <w:basedOn w:val="NormaleTabelle"/>
    <w:uiPriority w:val="73"/>
    <w:semiHidden/>
    <w:unhideWhenUsed/>
    <w:rsid w:val="001835F7"/>
    <w:rPr>
      <w:color w:val="000000" w:themeColor="text1"/>
    </w:rPr>
    <w:tblPr>
      <w:tblStyleRowBandSize w:val="1"/>
      <w:tblStyleColBandSize w:val="1"/>
      <w:tblBorders>
        <w:insideH w:val="single" w:sz="4" w:space="0" w:color="FFFFFF" w:themeColor="background1"/>
      </w:tblBorders>
    </w:tblPr>
    <w:tcPr>
      <w:shd w:val="clear" w:color="auto" w:fill="BEF4E4" w:themeFill="accent6" w:themeFillTint="33"/>
    </w:tcPr>
    <w:tblStylePr w:type="firstRow">
      <w:rPr>
        <w:b/>
        <w:bCs/>
      </w:rPr>
      <w:tblPr/>
      <w:tcPr>
        <w:shd w:val="clear" w:color="auto" w:fill="7DE8CA" w:themeFill="accent6" w:themeFillTint="66"/>
      </w:tcPr>
    </w:tblStylePr>
    <w:tblStylePr w:type="lastRow">
      <w:rPr>
        <w:b/>
        <w:bCs/>
        <w:color w:val="000000" w:themeColor="text1"/>
      </w:rPr>
      <w:tblPr/>
      <w:tcPr>
        <w:shd w:val="clear" w:color="auto" w:fill="7DE8CA" w:themeFill="accent6" w:themeFillTint="66"/>
      </w:tcPr>
    </w:tblStylePr>
    <w:tblStylePr w:type="firstCol">
      <w:rPr>
        <w:color w:val="FFFFFF" w:themeColor="background1"/>
      </w:rPr>
      <w:tblPr/>
      <w:tcPr>
        <w:shd w:val="clear" w:color="auto" w:fill="0E533F" w:themeFill="accent6" w:themeFillShade="BF"/>
      </w:tcPr>
    </w:tblStylePr>
    <w:tblStylePr w:type="lastCol">
      <w:rPr>
        <w:color w:val="FFFFFF" w:themeColor="background1"/>
      </w:rPr>
      <w:tblPr/>
      <w:tcPr>
        <w:shd w:val="clear" w:color="auto" w:fill="0E533F" w:themeFill="accent6" w:themeFillShade="BF"/>
      </w:tcPr>
    </w:tblStylePr>
    <w:tblStylePr w:type="band1Vert">
      <w:tblPr/>
      <w:tcPr>
        <w:shd w:val="clear" w:color="auto" w:fill="5DE3BC" w:themeFill="accent6" w:themeFillTint="7F"/>
      </w:tcPr>
    </w:tblStylePr>
    <w:tblStylePr w:type="band1Horz">
      <w:tblPr/>
      <w:tcPr>
        <w:shd w:val="clear" w:color="auto" w:fill="5DE3BC" w:themeFill="accent6" w:themeFillTint="7F"/>
      </w:tcPr>
    </w:tblStylePr>
  </w:style>
  <w:style w:type="table" w:styleId="FarbigeListe">
    <w:name w:val="Colorful List"/>
    <w:basedOn w:val="NormaleTabelle"/>
    <w:uiPriority w:val="72"/>
    <w:semiHidden/>
    <w:unhideWhenUsed/>
    <w:rsid w:val="001835F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8686" w:themeFill="accent2" w:themeFillShade="CC"/>
      </w:tcPr>
    </w:tblStylePr>
    <w:tblStylePr w:type="lastRow">
      <w:rPr>
        <w:b/>
        <w:bCs/>
        <w:color w:val="8686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1835F7"/>
    <w:rPr>
      <w:color w:val="000000" w:themeColor="text1"/>
    </w:rPr>
    <w:tblPr>
      <w:tblStyleRowBandSize w:val="1"/>
      <w:tblStyleColBandSize w:val="1"/>
    </w:tblPr>
    <w:tcPr>
      <w:shd w:val="clear" w:color="auto" w:fill="EFF8FA" w:themeFill="accent1" w:themeFillTint="19"/>
    </w:tcPr>
    <w:tblStylePr w:type="firstRow">
      <w:rPr>
        <w:b/>
        <w:bCs/>
        <w:color w:val="FFFFFF" w:themeColor="background1"/>
      </w:rPr>
      <w:tblPr/>
      <w:tcPr>
        <w:tcBorders>
          <w:bottom w:val="single" w:sz="12" w:space="0" w:color="FFFFFF" w:themeColor="background1"/>
        </w:tcBorders>
        <w:shd w:val="clear" w:color="auto" w:fill="868686" w:themeFill="accent2" w:themeFillShade="CC"/>
      </w:tcPr>
    </w:tblStylePr>
    <w:tblStylePr w:type="lastRow">
      <w:rPr>
        <w:b/>
        <w:bCs/>
        <w:color w:val="8686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DF3" w:themeFill="accent1" w:themeFillTint="3F"/>
      </w:tcPr>
    </w:tblStylePr>
    <w:tblStylePr w:type="band1Horz">
      <w:tblPr/>
      <w:tcPr>
        <w:shd w:val="clear" w:color="auto" w:fill="DEF0F5" w:themeFill="accent1" w:themeFillTint="33"/>
      </w:tcPr>
    </w:tblStylePr>
  </w:style>
  <w:style w:type="table" w:styleId="FarbigeListe-Akzent2">
    <w:name w:val="Colorful List Accent 2"/>
    <w:basedOn w:val="NormaleTabelle"/>
    <w:uiPriority w:val="72"/>
    <w:semiHidden/>
    <w:unhideWhenUsed/>
    <w:rsid w:val="001835F7"/>
    <w:rPr>
      <w:color w:val="000000" w:themeColor="text1"/>
    </w:rPr>
    <w:tblPr>
      <w:tblStyleRowBandSize w:val="1"/>
      <w:tblStyleColBandSize w:val="1"/>
    </w:tblPr>
    <w:tcPr>
      <w:shd w:val="clear" w:color="auto" w:fill="F6F6F6" w:themeFill="accent2" w:themeFillTint="19"/>
    </w:tcPr>
    <w:tblStylePr w:type="firstRow">
      <w:rPr>
        <w:b/>
        <w:bCs/>
        <w:color w:val="FFFFFF" w:themeColor="background1"/>
      </w:rPr>
      <w:tblPr/>
      <w:tcPr>
        <w:tcBorders>
          <w:bottom w:val="single" w:sz="12" w:space="0" w:color="FFFFFF" w:themeColor="background1"/>
        </w:tcBorders>
        <w:shd w:val="clear" w:color="auto" w:fill="868686" w:themeFill="accent2" w:themeFillShade="CC"/>
      </w:tcPr>
    </w:tblStylePr>
    <w:tblStylePr w:type="lastRow">
      <w:rPr>
        <w:b/>
        <w:bCs/>
        <w:color w:val="8686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9E9" w:themeFill="accent2" w:themeFillTint="3F"/>
      </w:tcPr>
    </w:tblStylePr>
    <w:tblStylePr w:type="band1Horz">
      <w:tblPr/>
      <w:tcPr>
        <w:shd w:val="clear" w:color="auto" w:fill="EDEDED" w:themeFill="accent2" w:themeFillTint="33"/>
      </w:tcPr>
    </w:tblStylePr>
  </w:style>
  <w:style w:type="table" w:styleId="FarbigeListe-Akzent3">
    <w:name w:val="Colorful List Accent 3"/>
    <w:basedOn w:val="NormaleTabelle"/>
    <w:uiPriority w:val="72"/>
    <w:semiHidden/>
    <w:unhideWhenUsed/>
    <w:rsid w:val="001835F7"/>
    <w:rPr>
      <w:color w:val="000000" w:themeColor="text1"/>
    </w:rPr>
    <w:tblPr>
      <w:tblStyleRowBandSize w:val="1"/>
      <w:tblStyleColBandSize w:val="1"/>
    </w:tblPr>
    <w:tcPr>
      <w:shd w:val="clear" w:color="auto" w:fill="F1F7F5" w:themeFill="accent3" w:themeFillTint="19"/>
    </w:tcPr>
    <w:tblStylePr w:type="firstRow">
      <w:rPr>
        <w:b/>
        <w:bCs/>
        <w:color w:val="FFFFFF" w:themeColor="background1"/>
      </w:rPr>
      <w:tblPr/>
      <w:tcPr>
        <w:tcBorders>
          <w:bottom w:val="single" w:sz="12" w:space="0" w:color="FFFFFF" w:themeColor="background1"/>
        </w:tcBorders>
        <w:shd w:val="clear" w:color="auto" w:fill="6D1523" w:themeFill="accent4" w:themeFillShade="CC"/>
      </w:tcPr>
    </w:tblStylePr>
    <w:tblStylePr w:type="lastRow">
      <w:rPr>
        <w:b/>
        <w:bCs/>
        <w:color w:val="6D152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CE6" w:themeFill="accent3" w:themeFillTint="3F"/>
      </w:tcPr>
    </w:tblStylePr>
    <w:tblStylePr w:type="band1Horz">
      <w:tblPr/>
      <w:tcPr>
        <w:shd w:val="clear" w:color="auto" w:fill="E3EFEB" w:themeFill="accent3" w:themeFillTint="33"/>
      </w:tcPr>
    </w:tblStylePr>
  </w:style>
  <w:style w:type="table" w:styleId="FarbigeListe-Akzent4">
    <w:name w:val="Colorful List Accent 4"/>
    <w:basedOn w:val="NormaleTabelle"/>
    <w:uiPriority w:val="72"/>
    <w:semiHidden/>
    <w:unhideWhenUsed/>
    <w:rsid w:val="001835F7"/>
    <w:rPr>
      <w:color w:val="000000" w:themeColor="text1"/>
    </w:rPr>
    <w:tblPr>
      <w:tblStyleRowBandSize w:val="1"/>
      <w:tblStyleColBandSize w:val="1"/>
    </w:tblPr>
    <w:tcPr>
      <w:shd w:val="clear" w:color="auto" w:fill="F9E2E6" w:themeFill="accent4" w:themeFillTint="19"/>
    </w:tcPr>
    <w:tblStylePr w:type="firstRow">
      <w:rPr>
        <w:b/>
        <w:bCs/>
        <w:color w:val="FFFFFF" w:themeColor="background1"/>
      </w:rPr>
      <w:tblPr/>
      <w:tcPr>
        <w:tcBorders>
          <w:bottom w:val="single" w:sz="12" w:space="0" w:color="FFFFFF" w:themeColor="background1"/>
        </w:tcBorders>
        <w:shd w:val="clear" w:color="auto" w:fill="549880" w:themeFill="accent3" w:themeFillShade="CC"/>
      </w:tcPr>
    </w:tblStylePr>
    <w:tblStylePr w:type="lastRow">
      <w:rPr>
        <w:b/>
        <w:bCs/>
        <w:color w:val="54988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B7C0" w:themeFill="accent4" w:themeFillTint="3F"/>
      </w:tcPr>
    </w:tblStylePr>
    <w:tblStylePr w:type="band1Horz">
      <w:tblPr/>
      <w:tcPr>
        <w:shd w:val="clear" w:color="auto" w:fill="F3C5CC" w:themeFill="accent4" w:themeFillTint="33"/>
      </w:tcPr>
    </w:tblStylePr>
  </w:style>
  <w:style w:type="table" w:styleId="FarbigeListe-Akzent5">
    <w:name w:val="Colorful List Accent 5"/>
    <w:basedOn w:val="NormaleTabelle"/>
    <w:uiPriority w:val="72"/>
    <w:semiHidden/>
    <w:unhideWhenUsed/>
    <w:rsid w:val="001835F7"/>
    <w:rPr>
      <w:color w:val="000000" w:themeColor="text1"/>
    </w:rPr>
    <w:tblPr>
      <w:tblStyleRowBandSize w:val="1"/>
      <w:tblStyleColBandSize w:val="1"/>
    </w:tblPr>
    <w:tcPr>
      <w:shd w:val="clear" w:color="auto" w:fill="F3F5E3" w:themeFill="accent5" w:themeFillTint="19"/>
    </w:tcPr>
    <w:tblStylePr w:type="firstRow">
      <w:rPr>
        <w:b/>
        <w:bCs/>
        <w:color w:val="FFFFFF" w:themeColor="background1"/>
      </w:rPr>
      <w:tblPr/>
      <w:tcPr>
        <w:tcBorders>
          <w:bottom w:val="single" w:sz="12" w:space="0" w:color="FFFFFF" w:themeColor="background1"/>
        </w:tcBorders>
        <w:shd w:val="clear" w:color="auto" w:fill="0F5843" w:themeFill="accent6" w:themeFillShade="CC"/>
      </w:tcPr>
    </w:tblStylePr>
    <w:tblStylePr w:type="lastRow">
      <w:rPr>
        <w:b/>
        <w:bCs/>
        <w:color w:val="0F584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BB" w:themeFill="accent5" w:themeFillTint="3F"/>
      </w:tcPr>
    </w:tblStylePr>
    <w:tblStylePr w:type="band1Horz">
      <w:tblPr/>
      <w:tcPr>
        <w:shd w:val="clear" w:color="auto" w:fill="E7EAC7" w:themeFill="accent5" w:themeFillTint="33"/>
      </w:tcPr>
    </w:tblStylePr>
  </w:style>
  <w:style w:type="table" w:styleId="FarbigeListe-Akzent6">
    <w:name w:val="Colorful List Accent 6"/>
    <w:basedOn w:val="NormaleTabelle"/>
    <w:uiPriority w:val="72"/>
    <w:semiHidden/>
    <w:unhideWhenUsed/>
    <w:rsid w:val="001835F7"/>
    <w:rPr>
      <w:color w:val="000000" w:themeColor="text1"/>
    </w:rPr>
    <w:tblPr>
      <w:tblStyleRowBandSize w:val="1"/>
      <w:tblStyleColBandSize w:val="1"/>
    </w:tblPr>
    <w:tcPr>
      <w:shd w:val="clear" w:color="auto" w:fill="DFF9F2" w:themeFill="accent6" w:themeFillTint="19"/>
    </w:tcPr>
    <w:tblStylePr w:type="firstRow">
      <w:rPr>
        <w:b/>
        <w:bCs/>
        <w:color w:val="FFFFFF" w:themeColor="background1"/>
      </w:rPr>
      <w:tblPr/>
      <w:tcPr>
        <w:tcBorders>
          <w:bottom w:val="single" w:sz="12" w:space="0" w:color="FFFFFF" w:themeColor="background1"/>
        </w:tcBorders>
        <w:shd w:val="clear" w:color="auto" w:fill="494E1C" w:themeFill="accent5" w:themeFillShade="CC"/>
      </w:tcPr>
    </w:tblStylePr>
    <w:tblStylePr w:type="lastRow">
      <w:rPr>
        <w:b/>
        <w:bCs/>
        <w:color w:val="494E1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1DE" w:themeFill="accent6" w:themeFillTint="3F"/>
      </w:tcPr>
    </w:tblStylePr>
    <w:tblStylePr w:type="band1Horz">
      <w:tblPr/>
      <w:tcPr>
        <w:shd w:val="clear" w:color="auto" w:fill="BEF4E4" w:themeFill="accent6" w:themeFillTint="33"/>
      </w:tcPr>
    </w:tblStylePr>
  </w:style>
  <w:style w:type="table" w:styleId="FarbigeSchattierung">
    <w:name w:val="Colorful Shading"/>
    <w:basedOn w:val="NormaleTabelle"/>
    <w:uiPriority w:val="71"/>
    <w:semiHidden/>
    <w:unhideWhenUsed/>
    <w:rsid w:val="001835F7"/>
    <w:rPr>
      <w:color w:val="000000" w:themeColor="text1"/>
    </w:rPr>
    <w:tblPr>
      <w:tblStyleRowBandSize w:val="1"/>
      <w:tblStyleColBandSize w:val="1"/>
      <w:tblBorders>
        <w:top w:val="single" w:sz="24" w:space="0" w:color="A8A8A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8A8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1835F7"/>
    <w:rPr>
      <w:color w:val="000000" w:themeColor="text1"/>
    </w:rPr>
    <w:tblPr>
      <w:tblStyleRowBandSize w:val="1"/>
      <w:tblStyleColBandSize w:val="1"/>
      <w:tblBorders>
        <w:top w:val="single" w:sz="24" w:space="0" w:color="A8A8A8" w:themeColor="accent2"/>
        <w:left w:val="single" w:sz="4" w:space="0" w:color="5EB9CF" w:themeColor="accent1"/>
        <w:bottom w:val="single" w:sz="4" w:space="0" w:color="5EB9CF" w:themeColor="accent1"/>
        <w:right w:val="single" w:sz="4" w:space="0" w:color="5EB9CF" w:themeColor="accent1"/>
        <w:insideH w:val="single" w:sz="4" w:space="0" w:color="FFFFFF" w:themeColor="background1"/>
        <w:insideV w:val="single" w:sz="4" w:space="0" w:color="FFFFFF" w:themeColor="background1"/>
      </w:tblBorders>
    </w:tblPr>
    <w:tcPr>
      <w:shd w:val="clear" w:color="auto" w:fill="EFF8FA" w:themeFill="accent1" w:themeFillTint="19"/>
    </w:tcPr>
    <w:tblStylePr w:type="firstRow">
      <w:rPr>
        <w:b/>
        <w:bCs/>
      </w:rPr>
      <w:tblPr/>
      <w:tcPr>
        <w:tcBorders>
          <w:top w:val="nil"/>
          <w:left w:val="nil"/>
          <w:bottom w:val="single" w:sz="24" w:space="0" w:color="A8A8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778A" w:themeFill="accent1" w:themeFillShade="99"/>
      </w:tcPr>
    </w:tblStylePr>
    <w:tblStylePr w:type="firstCol">
      <w:rPr>
        <w:color w:val="FFFFFF" w:themeColor="background1"/>
      </w:rPr>
      <w:tblPr/>
      <w:tcPr>
        <w:tcBorders>
          <w:top w:val="nil"/>
          <w:left w:val="nil"/>
          <w:bottom w:val="nil"/>
          <w:right w:val="nil"/>
          <w:insideH w:val="single" w:sz="4" w:space="0" w:color="29778A" w:themeColor="accent1" w:themeShade="99"/>
          <w:insideV w:val="nil"/>
        </w:tcBorders>
        <w:shd w:val="clear" w:color="auto" w:fill="29778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778A" w:themeFill="accent1" w:themeFillShade="99"/>
      </w:tcPr>
    </w:tblStylePr>
    <w:tblStylePr w:type="band1Vert">
      <w:tblPr/>
      <w:tcPr>
        <w:shd w:val="clear" w:color="auto" w:fill="BEE2EB" w:themeFill="accent1" w:themeFillTint="66"/>
      </w:tcPr>
    </w:tblStylePr>
    <w:tblStylePr w:type="band1Horz">
      <w:tblPr/>
      <w:tcPr>
        <w:shd w:val="clear" w:color="auto" w:fill="AEDCE7"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1835F7"/>
    <w:rPr>
      <w:color w:val="000000" w:themeColor="text1"/>
    </w:rPr>
    <w:tblPr>
      <w:tblStyleRowBandSize w:val="1"/>
      <w:tblStyleColBandSize w:val="1"/>
      <w:tblBorders>
        <w:top w:val="single" w:sz="24" w:space="0" w:color="A8A8A8" w:themeColor="accent2"/>
        <w:left w:val="single" w:sz="4" w:space="0" w:color="A8A8A8" w:themeColor="accent2"/>
        <w:bottom w:val="single" w:sz="4" w:space="0" w:color="A8A8A8" w:themeColor="accent2"/>
        <w:right w:val="single" w:sz="4" w:space="0" w:color="A8A8A8" w:themeColor="accent2"/>
        <w:insideH w:val="single" w:sz="4" w:space="0" w:color="FFFFFF" w:themeColor="background1"/>
        <w:insideV w:val="single" w:sz="4" w:space="0" w:color="FFFFFF" w:themeColor="background1"/>
      </w:tblBorders>
    </w:tblPr>
    <w:tcPr>
      <w:shd w:val="clear" w:color="auto" w:fill="F6F6F6" w:themeFill="accent2" w:themeFillTint="19"/>
    </w:tcPr>
    <w:tblStylePr w:type="firstRow">
      <w:rPr>
        <w:b/>
        <w:bCs/>
      </w:rPr>
      <w:tblPr/>
      <w:tcPr>
        <w:tcBorders>
          <w:top w:val="nil"/>
          <w:left w:val="nil"/>
          <w:bottom w:val="single" w:sz="24" w:space="0" w:color="A8A8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6464" w:themeFill="accent2" w:themeFillShade="99"/>
      </w:tcPr>
    </w:tblStylePr>
    <w:tblStylePr w:type="firstCol">
      <w:rPr>
        <w:color w:val="FFFFFF" w:themeColor="background1"/>
      </w:rPr>
      <w:tblPr/>
      <w:tcPr>
        <w:tcBorders>
          <w:top w:val="nil"/>
          <w:left w:val="nil"/>
          <w:bottom w:val="nil"/>
          <w:right w:val="nil"/>
          <w:insideH w:val="single" w:sz="4" w:space="0" w:color="646464" w:themeColor="accent2" w:themeShade="99"/>
          <w:insideV w:val="nil"/>
        </w:tcBorders>
        <w:shd w:val="clear" w:color="auto" w:fill="64646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46464" w:themeFill="accent2" w:themeFillShade="99"/>
      </w:tcPr>
    </w:tblStylePr>
    <w:tblStylePr w:type="band1Vert">
      <w:tblPr/>
      <w:tcPr>
        <w:shd w:val="clear" w:color="auto" w:fill="DCDCDC" w:themeFill="accent2" w:themeFillTint="66"/>
      </w:tcPr>
    </w:tblStylePr>
    <w:tblStylePr w:type="band1Horz">
      <w:tblPr/>
      <w:tcPr>
        <w:shd w:val="clear" w:color="auto" w:fill="D3D3D3"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1835F7"/>
    <w:rPr>
      <w:color w:val="000000" w:themeColor="text1"/>
    </w:rPr>
    <w:tblPr>
      <w:tblStyleRowBandSize w:val="1"/>
      <w:tblStyleColBandSize w:val="1"/>
      <w:tblBorders>
        <w:top w:val="single" w:sz="24" w:space="0" w:color="891B2D" w:themeColor="accent4"/>
        <w:left w:val="single" w:sz="4" w:space="0" w:color="75B39D" w:themeColor="accent3"/>
        <w:bottom w:val="single" w:sz="4" w:space="0" w:color="75B39D" w:themeColor="accent3"/>
        <w:right w:val="single" w:sz="4" w:space="0" w:color="75B39D" w:themeColor="accent3"/>
        <w:insideH w:val="single" w:sz="4" w:space="0" w:color="FFFFFF" w:themeColor="background1"/>
        <w:insideV w:val="single" w:sz="4" w:space="0" w:color="FFFFFF" w:themeColor="background1"/>
      </w:tblBorders>
    </w:tblPr>
    <w:tcPr>
      <w:shd w:val="clear" w:color="auto" w:fill="F1F7F5" w:themeFill="accent3" w:themeFillTint="19"/>
    </w:tcPr>
    <w:tblStylePr w:type="firstRow">
      <w:rPr>
        <w:b/>
        <w:bCs/>
      </w:rPr>
      <w:tblPr/>
      <w:tcPr>
        <w:tcBorders>
          <w:top w:val="nil"/>
          <w:left w:val="nil"/>
          <w:bottom w:val="single" w:sz="24" w:space="0" w:color="891B2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7260" w:themeFill="accent3" w:themeFillShade="99"/>
      </w:tcPr>
    </w:tblStylePr>
    <w:tblStylePr w:type="firstCol">
      <w:rPr>
        <w:color w:val="FFFFFF" w:themeColor="background1"/>
      </w:rPr>
      <w:tblPr/>
      <w:tcPr>
        <w:tcBorders>
          <w:top w:val="nil"/>
          <w:left w:val="nil"/>
          <w:bottom w:val="nil"/>
          <w:right w:val="nil"/>
          <w:insideH w:val="single" w:sz="4" w:space="0" w:color="3F7260" w:themeColor="accent3" w:themeShade="99"/>
          <w:insideV w:val="nil"/>
        </w:tcBorders>
        <w:shd w:val="clear" w:color="auto" w:fill="3F726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F7260" w:themeFill="accent3" w:themeFillShade="99"/>
      </w:tcPr>
    </w:tblStylePr>
    <w:tblStylePr w:type="band1Vert">
      <w:tblPr/>
      <w:tcPr>
        <w:shd w:val="clear" w:color="auto" w:fill="C7E0D7" w:themeFill="accent3" w:themeFillTint="66"/>
      </w:tcPr>
    </w:tblStylePr>
    <w:tblStylePr w:type="band1Horz">
      <w:tblPr/>
      <w:tcPr>
        <w:shd w:val="clear" w:color="auto" w:fill="BAD9CE" w:themeFill="accent3" w:themeFillTint="7F"/>
      </w:tcPr>
    </w:tblStylePr>
  </w:style>
  <w:style w:type="table" w:styleId="FarbigeSchattierung-Akzent4">
    <w:name w:val="Colorful Shading Accent 4"/>
    <w:basedOn w:val="NormaleTabelle"/>
    <w:uiPriority w:val="71"/>
    <w:semiHidden/>
    <w:unhideWhenUsed/>
    <w:rsid w:val="001835F7"/>
    <w:rPr>
      <w:color w:val="000000" w:themeColor="text1"/>
    </w:rPr>
    <w:tblPr>
      <w:tblStyleRowBandSize w:val="1"/>
      <w:tblStyleColBandSize w:val="1"/>
      <w:tblBorders>
        <w:top w:val="single" w:sz="24" w:space="0" w:color="75B39D" w:themeColor="accent3"/>
        <w:left w:val="single" w:sz="4" w:space="0" w:color="891B2D" w:themeColor="accent4"/>
        <w:bottom w:val="single" w:sz="4" w:space="0" w:color="891B2D" w:themeColor="accent4"/>
        <w:right w:val="single" w:sz="4" w:space="0" w:color="891B2D" w:themeColor="accent4"/>
        <w:insideH w:val="single" w:sz="4" w:space="0" w:color="FFFFFF" w:themeColor="background1"/>
        <w:insideV w:val="single" w:sz="4" w:space="0" w:color="FFFFFF" w:themeColor="background1"/>
      </w:tblBorders>
    </w:tblPr>
    <w:tcPr>
      <w:shd w:val="clear" w:color="auto" w:fill="F9E2E6" w:themeFill="accent4" w:themeFillTint="19"/>
    </w:tcPr>
    <w:tblStylePr w:type="firstRow">
      <w:rPr>
        <w:b/>
        <w:bCs/>
      </w:rPr>
      <w:tblPr/>
      <w:tcPr>
        <w:tcBorders>
          <w:top w:val="nil"/>
          <w:left w:val="nil"/>
          <w:bottom w:val="single" w:sz="24" w:space="0" w:color="75B39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101A" w:themeFill="accent4" w:themeFillShade="99"/>
      </w:tcPr>
    </w:tblStylePr>
    <w:tblStylePr w:type="firstCol">
      <w:rPr>
        <w:color w:val="FFFFFF" w:themeColor="background1"/>
      </w:rPr>
      <w:tblPr/>
      <w:tcPr>
        <w:tcBorders>
          <w:top w:val="nil"/>
          <w:left w:val="nil"/>
          <w:bottom w:val="nil"/>
          <w:right w:val="nil"/>
          <w:insideH w:val="single" w:sz="4" w:space="0" w:color="52101A" w:themeColor="accent4" w:themeShade="99"/>
          <w:insideV w:val="nil"/>
        </w:tcBorders>
        <w:shd w:val="clear" w:color="auto" w:fill="5210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2101A" w:themeFill="accent4" w:themeFillShade="99"/>
      </w:tcPr>
    </w:tblStylePr>
    <w:tblStylePr w:type="band1Vert">
      <w:tblPr/>
      <w:tcPr>
        <w:shd w:val="clear" w:color="auto" w:fill="E88B9A" w:themeFill="accent4" w:themeFillTint="66"/>
      </w:tcPr>
    </w:tblStylePr>
    <w:tblStylePr w:type="band1Horz">
      <w:tblPr/>
      <w:tcPr>
        <w:shd w:val="clear" w:color="auto" w:fill="E26F81"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1835F7"/>
    <w:rPr>
      <w:color w:val="000000" w:themeColor="text1"/>
    </w:rPr>
    <w:tblPr>
      <w:tblStyleRowBandSize w:val="1"/>
      <w:tblStyleColBandSize w:val="1"/>
      <w:tblBorders>
        <w:top w:val="single" w:sz="24" w:space="0" w:color="136F55" w:themeColor="accent6"/>
        <w:left w:val="single" w:sz="4" w:space="0" w:color="5C6224" w:themeColor="accent5"/>
        <w:bottom w:val="single" w:sz="4" w:space="0" w:color="5C6224" w:themeColor="accent5"/>
        <w:right w:val="single" w:sz="4" w:space="0" w:color="5C6224" w:themeColor="accent5"/>
        <w:insideH w:val="single" w:sz="4" w:space="0" w:color="FFFFFF" w:themeColor="background1"/>
        <w:insideV w:val="single" w:sz="4" w:space="0" w:color="FFFFFF" w:themeColor="background1"/>
      </w:tblBorders>
    </w:tblPr>
    <w:tcPr>
      <w:shd w:val="clear" w:color="auto" w:fill="F3F5E3" w:themeFill="accent5" w:themeFillTint="19"/>
    </w:tcPr>
    <w:tblStylePr w:type="firstRow">
      <w:rPr>
        <w:b/>
        <w:bCs/>
      </w:rPr>
      <w:tblPr/>
      <w:tcPr>
        <w:tcBorders>
          <w:top w:val="nil"/>
          <w:left w:val="nil"/>
          <w:bottom w:val="single" w:sz="24" w:space="0" w:color="136F5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A15" w:themeFill="accent5" w:themeFillShade="99"/>
      </w:tcPr>
    </w:tblStylePr>
    <w:tblStylePr w:type="firstCol">
      <w:rPr>
        <w:color w:val="FFFFFF" w:themeColor="background1"/>
      </w:rPr>
      <w:tblPr/>
      <w:tcPr>
        <w:tcBorders>
          <w:top w:val="nil"/>
          <w:left w:val="nil"/>
          <w:bottom w:val="nil"/>
          <w:right w:val="nil"/>
          <w:insideH w:val="single" w:sz="4" w:space="0" w:color="373A15" w:themeColor="accent5" w:themeShade="99"/>
          <w:insideV w:val="nil"/>
        </w:tcBorders>
        <w:shd w:val="clear" w:color="auto" w:fill="373A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73A15" w:themeFill="accent5" w:themeFillShade="99"/>
      </w:tcPr>
    </w:tblStylePr>
    <w:tblStylePr w:type="band1Vert">
      <w:tblPr/>
      <w:tcPr>
        <w:shd w:val="clear" w:color="auto" w:fill="CFD690" w:themeFill="accent5" w:themeFillTint="66"/>
      </w:tcPr>
    </w:tblStylePr>
    <w:tblStylePr w:type="band1Horz">
      <w:tblPr/>
      <w:tcPr>
        <w:shd w:val="clear" w:color="auto" w:fill="C4CC76"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1835F7"/>
    <w:rPr>
      <w:color w:val="000000" w:themeColor="text1"/>
    </w:rPr>
    <w:tblPr>
      <w:tblStyleRowBandSize w:val="1"/>
      <w:tblStyleColBandSize w:val="1"/>
      <w:tblBorders>
        <w:top w:val="single" w:sz="24" w:space="0" w:color="5C6224" w:themeColor="accent5"/>
        <w:left w:val="single" w:sz="4" w:space="0" w:color="136F55" w:themeColor="accent6"/>
        <w:bottom w:val="single" w:sz="4" w:space="0" w:color="136F55" w:themeColor="accent6"/>
        <w:right w:val="single" w:sz="4" w:space="0" w:color="136F55" w:themeColor="accent6"/>
        <w:insideH w:val="single" w:sz="4" w:space="0" w:color="FFFFFF" w:themeColor="background1"/>
        <w:insideV w:val="single" w:sz="4" w:space="0" w:color="FFFFFF" w:themeColor="background1"/>
      </w:tblBorders>
    </w:tblPr>
    <w:tcPr>
      <w:shd w:val="clear" w:color="auto" w:fill="DFF9F2" w:themeFill="accent6" w:themeFillTint="19"/>
    </w:tcPr>
    <w:tblStylePr w:type="firstRow">
      <w:rPr>
        <w:b/>
        <w:bCs/>
      </w:rPr>
      <w:tblPr/>
      <w:tcPr>
        <w:tcBorders>
          <w:top w:val="nil"/>
          <w:left w:val="nil"/>
          <w:bottom w:val="single" w:sz="24" w:space="0" w:color="5C622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B4232" w:themeFill="accent6" w:themeFillShade="99"/>
      </w:tcPr>
    </w:tblStylePr>
    <w:tblStylePr w:type="firstCol">
      <w:rPr>
        <w:color w:val="FFFFFF" w:themeColor="background1"/>
      </w:rPr>
      <w:tblPr/>
      <w:tcPr>
        <w:tcBorders>
          <w:top w:val="nil"/>
          <w:left w:val="nil"/>
          <w:bottom w:val="nil"/>
          <w:right w:val="nil"/>
          <w:insideH w:val="single" w:sz="4" w:space="0" w:color="0B4232" w:themeColor="accent6" w:themeShade="99"/>
          <w:insideV w:val="nil"/>
        </w:tcBorders>
        <w:shd w:val="clear" w:color="auto" w:fill="0B423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B4232" w:themeFill="accent6" w:themeFillShade="99"/>
      </w:tcPr>
    </w:tblStylePr>
    <w:tblStylePr w:type="band1Vert">
      <w:tblPr/>
      <w:tcPr>
        <w:shd w:val="clear" w:color="auto" w:fill="7DE8CA" w:themeFill="accent6" w:themeFillTint="66"/>
      </w:tcPr>
    </w:tblStylePr>
    <w:tblStylePr w:type="band1Horz">
      <w:tblPr/>
      <w:tcPr>
        <w:shd w:val="clear" w:color="auto" w:fill="5DE3BC"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1835F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1835F7"/>
    <w:rPr>
      <w:color w:val="FFFFFF" w:themeColor="background1"/>
    </w:rPr>
    <w:tblPr>
      <w:tblStyleRowBandSize w:val="1"/>
      <w:tblStyleColBandSize w:val="1"/>
    </w:tblPr>
    <w:tcPr>
      <w:shd w:val="clear" w:color="auto" w:fill="5EB9C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637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95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95AD" w:themeFill="accent1" w:themeFillShade="BF"/>
      </w:tcPr>
    </w:tblStylePr>
    <w:tblStylePr w:type="band1Vert">
      <w:tblPr/>
      <w:tcPr>
        <w:tcBorders>
          <w:top w:val="nil"/>
          <w:left w:val="nil"/>
          <w:bottom w:val="nil"/>
          <w:right w:val="nil"/>
          <w:insideH w:val="nil"/>
          <w:insideV w:val="nil"/>
        </w:tcBorders>
        <w:shd w:val="clear" w:color="auto" w:fill="3395AD" w:themeFill="accent1" w:themeFillShade="BF"/>
      </w:tcPr>
    </w:tblStylePr>
    <w:tblStylePr w:type="band1Horz">
      <w:tblPr/>
      <w:tcPr>
        <w:tcBorders>
          <w:top w:val="nil"/>
          <w:left w:val="nil"/>
          <w:bottom w:val="nil"/>
          <w:right w:val="nil"/>
          <w:insideH w:val="nil"/>
          <w:insideV w:val="nil"/>
        </w:tcBorders>
        <w:shd w:val="clear" w:color="auto" w:fill="3395AD" w:themeFill="accent1" w:themeFillShade="BF"/>
      </w:tcPr>
    </w:tblStylePr>
  </w:style>
  <w:style w:type="table" w:styleId="DunkleListe-Akzent2">
    <w:name w:val="Dark List Accent 2"/>
    <w:basedOn w:val="NormaleTabelle"/>
    <w:uiPriority w:val="70"/>
    <w:semiHidden/>
    <w:unhideWhenUsed/>
    <w:rsid w:val="001835F7"/>
    <w:rPr>
      <w:color w:val="FFFFFF" w:themeColor="background1"/>
    </w:rPr>
    <w:tblPr>
      <w:tblStyleRowBandSize w:val="1"/>
      <w:tblStyleColBandSize w:val="1"/>
    </w:tblPr>
    <w:tcPr>
      <w:shd w:val="clear" w:color="auto" w:fill="A8A8A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535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D7D7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D7D7D" w:themeFill="accent2" w:themeFillShade="BF"/>
      </w:tcPr>
    </w:tblStylePr>
    <w:tblStylePr w:type="band1Vert">
      <w:tblPr/>
      <w:tcPr>
        <w:tcBorders>
          <w:top w:val="nil"/>
          <w:left w:val="nil"/>
          <w:bottom w:val="nil"/>
          <w:right w:val="nil"/>
          <w:insideH w:val="nil"/>
          <w:insideV w:val="nil"/>
        </w:tcBorders>
        <w:shd w:val="clear" w:color="auto" w:fill="7D7D7D" w:themeFill="accent2" w:themeFillShade="BF"/>
      </w:tcPr>
    </w:tblStylePr>
    <w:tblStylePr w:type="band1Horz">
      <w:tblPr/>
      <w:tcPr>
        <w:tcBorders>
          <w:top w:val="nil"/>
          <w:left w:val="nil"/>
          <w:bottom w:val="nil"/>
          <w:right w:val="nil"/>
          <w:insideH w:val="nil"/>
          <w:insideV w:val="nil"/>
        </w:tcBorders>
        <w:shd w:val="clear" w:color="auto" w:fill="7D7D7D" w:themeFill="accent2" w:themeFillShade="BF"/>
      </w:tcPr>
    </w:tblStylePr>
  </w:style>
  <w:style w:type="table" w:styleId="DunkleListe-Akzent3">
    <w:name w:val="Dark List Accent 3"/>
    <w:basedOn w:val="NormaleTabelle"/>
    <w:uiPriority w:val="70"/>
    <w:semiHidden/>
    <w:unhideWhenUsed/>
    <w:rsid w:val="001835F7"/>
    <w:rPr>
      <w:color w:val="FFFFFF" w:themeColor="background1"/>
    </w:rPr>
    <w:tblPr>
      <w:tblStyleRowBandSize w:val="1"/>
      <w:tblStyleColBandSize w:val="1"/>
    </w:tblPr>
    <w:tcPr>
      <w:shd w:val="clear" w:color="auto" w:fill="75B39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E4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E8E7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E8E77" w:themeFill="accent3" w:themeFillShade="BF"/>
      </w:tcPr>
    </w:tblStylePr>
    <w:tblStylePr w:type="band1Vert">
      <w:tblPr/>
      <w:tcPr>
        <w:tcBorders>
          <w:top w:val="nil"/>
          <w:left w:val="nil"/>
          <w:bottom w:val="nil"/>
          <w:right w:val="nil"/>
          <w:insideH w:val="nil"/>
          <w:insideV w:val="nil"/>
        </w:tcBorders>
        <w:shd w:val="clear" w:color="auto" w:fill="4E8E77" w:themeFill="accent3" w:themeFillShade="BF"/>
      </w:tcPr>
    </w:tblStylePr>
    <w:tblStylePr w:type="band1Horz">
      <w:tblPr/>
      <w:tcPr>
        <w:tcBorders>
          <w:top w:val="nil"/>
          <w:left w:val="nil"/>
          <w:bottom w:val="nil"/>
          <w:right w:val="nil"/>
          <w:insideH w:val="nil"/>
          <w:insideV w:val="nil"/>
        </w:tcBorders>
        <w:shd w:val="clear" w:color="auto" w:fill="4E8E77" w:themeFill="accent3" w:themeFillShade="BF"/>
      </w:tcPr>
    </w:tblStylePr>
  </w:style>
  <w:style w:type="table" w:styleId="DunkleListe-Akzent4">
    <w:name w:val="Dark List Accent 4"/>
    <w:basedOn w:val="NormaleTabelle"/>
    <w:uiPriority w:val="70"/>
    <w:semiHidden/>
    <w:unhideWhenUsed/>
    <w:rsid w:val="001835F7"/>
    <w:rPr>
      <w:color w:val="FFFFFF" w:themeColor="background1"/>
    </w:rPr>
    <w:tblPr>
      <w:tblStyleRowBandSize w:val="1"/>
      <w:tblStyleColBandSize w:val="1"/>
    </w:tblPr>
    <w:tcPr>
      <w:shd w:val="clear" w:color="auto" w:fill="891B2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D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142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1421" w:themeFill="accent4" w:themeFillShade="BF"/>
      </w:tcPr>
    </w:tblStylePr>
    <w:tblStylePr w:type="band1Vert">
      <w:tblPr/>
      <w:tcPr>
        <w:tcBorders>
          <w:top w:val="nil"/>
          <w:left w:val="nil"/>
          <w:bottom w:val="nil"/>
          <w:right w:val="nil"/>
          <w:insideH w:val="nil"/>
          <w:insideV w:val="nil"/>
        </w:tcBorders>
        <w:shd w:val="clear" w:color="auto" w:fill="661421" w:themeFill="accent4" w:themeFillShade="BF"/>
      </w:tcPr>
    </w:tblStylePr>
    <w:tblStylePr w:type="band1Horz">
      <w:tblPr/>
      <w:tcPr>
        <w:tcBorders>
          <w:top w:val="nil"/>
          <w:left w:val="nil"/>
          <w:bottom w:val="nil"/>
          <w:right w:val="nil"/>
          <w:insideH w:val="nil"/>
          <w:insideV w:val="nil"/>
        </w:tcBorders>
        <w:shd w:val="clear" w:color="auto" w:fill="661421" w:themeFill="accent4" w:themeFillShade="BF"/>
      </w:tcPr>
    </w:tblStylePr>
  </w:style>
  <w:style w:type="table" w:styleId="DunkleListe-Akzent5">
    <w:name w:val="Dark List Accent 5"/>
    <w:basedOn w:val="NormaleTabelle"/>
    <w:uiPriority w:val="70"/>
    <w:semiHidden/>
    <w:unhideWhenUsed/>
    <w:rsid w:val="001835F7"/>
    <w:rPr>
      <w:color w:val="FFFFFF" w:themeColor="background1"/>
    </w:rPr>
    <w:tblPr>
      <w:tblStyleRowBandSize w:val="1"/>
      <w:tblStyleColBandSize w:val="1"/>
    </w:tblPr>
    <w:tcPr>
      <w:shd w:val="clear" w:color="auto" w:fill="5C622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01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4491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4491B" w:themeFill="accent5" w:themeFillShade="BF"/>
      </w:tcPr>
    </w:tblStylePr>
    <w:tblStylePr w:type="band1Vert">
      <w:tblPr/>
      <w:tcPr>
        <w:tcBorders>
          <w:top w:val="nil"/>
          <w:left w:val="nil"/>
          <w:bottom w:val="nil"/>
          <w:right w:val="nil"/>
          <w:insideH w:val="nil"/>
          <w:insideV w:val="nil"/>
        </w:tcBorders>
        <w:shd w:val="clear" w:color="auto" w:fill="44491B" w:themeFill="accent5" w:themeFillShade="BF"/>
      </w:tcPr>
    </w:tblStylePr>
    <w:tblStylePr w:type="band1Horz">
      <w:tblPr/>
      <w:tcPr>
        <w:tcBorders>
          <w:top w:val="nil"/>
          <w:left w:val="nil"/>
          <w:bottom w:val="nil"/>
          <w:right w:val="nil"/>
          <w:insideH w:val="nil"/>
          <w:insideV w:val="nil"/>
        </w:tcBorders>
        <w:shd w:val="clear" w:color="auto" w:fill="44491B" w:themeFill="accent5" w:themeFillShade="BF"/>
      </w:tcPr>
    </w:tblStylePr>
  </w:style>
  <w:style w:type="table" w:styleId="DunkleListe-Akzent6">
    <w:name w:val="Dark List Accent 6"/>
    <w:basedOn w:val="NormaleTabelle"/>
    <w:uiPriority w:val="70"/>
    <w:semiHidden/>
    <w:unhideWhenUsed/>
    <w:rsid w:val="001835F7"/>
    <w:rPr>
      <w:color w:val="FFFFFF" w:themeColor="background1"/>
    </w:rPr>
    <w:tblPr>
      <w:tblStyleRowBandSize w:val="1"/>
      <w:tblStyleColBandSize w:val="1"/>
    </w:tblPr>
    <w:tcPr>
      <w:shd w:val="clear" w:color="auto" w:fill="136F5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372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E533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E533F" w:themeFill="accent6" w:themeFillShade="BF"/>
      </w:tcPr>
    </w:tblStylePr>
    <w:tblStylePr w:type="band1Vert">
      <w:tblPr/>
      <w:tcPr>
        <w:tcBorders>
          <w:top w:val="nil"/>
          <w:left w:val="nil"/>
          <w:bottom w:val="nil"/>
          <w:right w:val="nil"/>
          <w:insideH w:val="nil"/>
          <w:insideV w:val="nil"/>
        </w:tcBorders>
        <w:shd w:val="clear" w:color="auto" w:fill="0E533F" w:themeFill="accent6" w:themeFillShade="BF"/>
      </w:tcPr>
    </w:tblStylePr>
    <w:tblStylePr w:type="band1Horz">
      <w:tblPr/>
      <w:tcPr>
        <w:tcBorders>
          <w:top w:val="nil"/>
          <w:left w:val="nil"/>
          <w:bottom w:val="nil"/>
          <w:right w:val="nil"/>
          <w:insideH w:val="nil"/>
          <w:insideV w:val="nil"/>
        </w:tcBorders>
        <w:shd w:val="clear" w:color="auto" w:fill="0E533F" w:themeFill="accent6" w:themeFillShade="BF"/>
      </w:tcPr>
    </w:tblStylePr>
  </w:style>
  <w:style w:type="paragraph" w:customStyle="1" w:styleId="FooterOfficeAddress">
    <w:name w:val="Footer Office Address"/>
    <w:basedOn w:val="Standard"/>
    <w:uiPriority w:val="5"/>
    <w:semiHidden/>
    <w:rsid w:val="001835F7"/>
    <w:pPr>
      <w:tabs>
        <w:tab w:val="left" w:pos="9072"/>
      </w:tabs>
      <w:overflowPunct/>
      <w:autoSpaceDE/>
      <w:autoSpaceDN/>
      <w:adjustRightInd/>
      <w:spacing w:line="240" w:lineRule="auto"/>
      <w:jc w:val="left"/>
      <w:textAlignment w:val="auto"/>
    </w:pPr>
    <w:rPr>
      <w:rFonts w:ascii="Arial" w:eastAsia="Times New Roman" w:hAnsi="Arial" w:cs="Times New Roman"/>
      <w:noProof/>
      <w:color w:val="404040"/>
      <w:sz w:val="15"/>
      <w:szCs w:val="15"/>
      <w:lang w:val="en-GB" w:eastAsia="en-GB"/>
    </w:rPr>
  </w:style>
  <w:style w:type="paragraph" w:customStyle="1" w:styleId="FooterOfficeAddressNL">
    <w:name w:val="Footer Office Address NL"/>
    <w:basedOn w:val="FooterOfficeAddress"/>
    <w:uiPriority w:val="99"/>
    <w:semiHidden/>
    <w:qFormat/>
    <w:rsid w:val="001835F7"/>
    <w:pPr>
      <w:tabs>
        <w:tab w:val="clear" w:pos="9072"/>
      </w:tabs>
      <w:spacing w:before="0" w:after="0"/>
      <w:jc w:val="right"/>
    </w:pPr>
    <w:rPr>
      <w:sz w:val="14"/>
    </w:rPr>
  </w:style>
  <w:style w:type="paragraph" w:customStyle="1" w:styleId="Glaubhaftmachung">
    <w:name w:val="Glaubhaftmachung:"/>
    <w:basedOn w:val="Textkrper"/>
    <w:next w:val="Textkrper"/>
    <w:uiPriority w:val="2"/>
    <w:rsid w:val="001835F7"/>
    <w:pPr>
      <w:numPr>
        <w:numId w:val="4"/>
      </w:numPr>
      <w:tabs>
        <w:tab w:val="left" w:pos="2552"/>
      </w:tabs>
      <w:overflowPunct/>
      <w:autoSpaceDE/>
      <w:autoSpaceDN/>
      <w:adjustRightInd/>
      <w:textAlignment w:val="auto"/>
    </w:pPr>
    <w:rPr>
      <w:rFonts w:ascii="Arial" w:eastAsia="Times New Roman" w:hAnsi="Arial" w:cs="Times New Roman"/>
      <w:kern w:val="22"/>
      <w:szCs w:val="24"/>
      <w:lang w:eastAsia="de-DE"/>
    </w:rPr>
  </w:style>
  <w:style w:type="table" w:styleId="Gitternetztabelle1hell">
    <w:name w:val="Grid Table 1 Light"/>
    <w:basedOn w:val="NormaleTabelle"/>
    <w:uiPriority w:val="46"/>
    <w:rsid w:val="001835F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1835F7"/>
    <w:tblPr>
      <w:tblStyleRowBandSize w:val="1"/>
      <w:tblStyleColBandSize w:val="1"/>
      <w:tblBorders>
        <w:top w:val="single" w:sz="4" w:space="0" w:color="BEE2EB" w:themeColor="accent1" w:themeTint="66"/>
        <w:left w:val="single" w:sz="4" w:space="0" w:color="BEE2EB" w:themeColor="accent1" w:themeTint="66"/>
        <w:bottom w:val="single" w:sz="4" w:space="0" w:color="BEE2EB" w:themeColor="accent1" w:themeTint="66"/>
        <w:right w:val="single" w:sz="4" w:space="0" w:color="BEE2EB" w:themeColor="accent1" w:themeTint="66"/>
        <w:insideH w:val="single" w:sz="4" w:space="0" w:color="BEE2EB" w:themeColor="accent1" w:themeTint="66"/>
        <w:insideV w:val="single" w:sz="4" w:space="0" w:color="BEE2EB" w:themeColor="accent1" w:themeTint="66"/>
      </w:tblBorders>
    </w:tblPr>
    <w:tblStylePr w:type="firstRow">
      <w:rPr>
        <w:b/>
        <w:bCs/>
      </w:rPr>
      <w:tblPr/>
      <w:tcPr>
        <w:tcBorders>
          <w:bottom w:val="single" w:sz="12" w:space="0" w:color="9ED4E2" w:themeColor="accent1" w:themeTint="99"/>
        </w:tcBorders>
      </w:tcPr>
    </w:tblStylePr>
    <w:tblStylePr w:type="lastRow">
      <w:rPr>
        <w:b/>
        <w:bCs/>
      </w:rPr>
      <w:tblPr/>
      <w:tcPr>
        <w:tcBorders>
          <w:top w:val="double" w:sz="2" w:space="0" w:color="9ED4E2"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1835F7"/>
    <w:tblPr>
      <w:tblStyleRowBandSize w:val="1"/>
      <w:tblStyleColBandSize w:val="1"/>
      <w:tblBorders>
        <w:top w:val="single" w:sz="4" w:space="0" w:color="DCDCDC" w:themeColor="accent2" w:themeTint="66"/>
        <w:left w:val="single" w:sz="4" w:space="0" w:color="DCDCDC" w:themeColor="accent2" w:themeTint="66"/>
        <w:bottom w:val="single" w:sz="4" w:space="0" w:color="DCDCDC" w:themeColor="accent2" w:themeTint="66"/>
        <w:right w:val="single" w:sz="4" w:space="0" w:color="DCDCDC" w:themeColor="accent2" w:themeTint="66"/>
        <w:insideH w:val="single" w:sz="4" w:space="0" w:color="DCDCDC" w:themeColor="accent2" w:themeTint="66"/>
        <w:insideV w:val="single" w:sz="4" w:space="0" w:color="DCDCDC" w:themeColor="accent2" w:themeTint="66"/>
      </w:tblBorders>
    </w:tblPr>
    <w:tblStylePr w:type="firstRow">
      <w:rPr>
        <w:b/>
        <w:bCs/>
      </w:rPr>
      <w:tblPr/>
      <w:tcPr>
        <w:tcBorders>
          <w:bottom w:val="single" w:sz="12" w:space="0" w:color="CACACA" w:themeColor="accent2" w:themeTint="99"/>
        </w:tcBorders>
      </w:tcPr>
    </w:tblStylePr>
    <w:tblStylePr w:type="lastRow">
      <w:rPr>
        <w:b/>
        <w:bCs/>
      </w:rPr>
      <w:tblPr/>
      <w:tcPr>
        <w:tcBorders>
          <w:top w:val="double" w:sz="2" w:space="0" w:color="CACACA"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1835F7"/>
    <w:tblPr>
      <w:tblStyleRowBandSize w:val="1"/>
      <w:tblStyleColBandSize w:val="1"/>
      <w:tblBorders>
        <w:top w:val="single" w:sz="4" w:space="0" w:color="C7E0D7" w:themeColor="accent3" w:themeTint="66"/>
        <w:left w:val="single" w:sz="4" w:space="0" w:color="C7E0D7" w:themeColor="accent3" w:themeTint="66"/>
        <w:bottom w:val="single" w:sz="4" w:space="0" w:color="C7E0D7" w:themeColor="accent3" w:themeTint="66"/>
        <w:right w:val="single" w:sz="4" w:space="0" w:color="C7E0D7" w:themeColor="accent3" w:themeTint="66"/>
        <w:insideH w:val="single" w:sz="4" w:space="0" w:color="C7E0D7" w:themeColor="accent3" w:themeTint="66"/>
        <w:insideV w:val="single" w:sz="4" w:space="0" w:color="C7E0D7" w:themeColor="accent3" w:themeTint="66"/>
      </w:tblBorders>
    </w:tblPr>
    <w:tblStylePr w:type="firstRow">
      <w:rPr>
        <w:b/>
        <w:bCs/>
      </w:rPr>
      <w:tblPr/>
      <w:tcPr>
        <w:tcBorders>
          <w:bottom w:val="single" w:sz="12" w:space="0" w:color="ACD1C4" w:themeColor="accent3" w:themeTint="99"/>
        </w:tcBorders>
      </w:tcPr>
    </w:tblStylePr>
    <w:tblStylePr w:type="lastRow">
      <w:rPr>
        <w:b/>
        <w:bCs/>
      </w:rPr>
      <w:tblPr/>
      <w:tcPr>
        <w:tcBorders>
          <w:top w:val="double" w:sz="2" w:space="0" w:color="ACD1C4"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1835F7"/>
    <w:tblPr>
      <w:tblStyleRowBandSize w:val="1"/>
      <w:tblStyleColBandSize w:val="1"/>
      <w:tblBorders>
        <w:top w:val="single" w:sz="4" w:space="0" w:color="E88B9A" w:themeColor="accent4" w:themeTint="66"/>
        <w:left w:val="single" w:sz="4" w:space="0" w:color="E88B9A" w:themeColor="accent4" w:themeTint="66"/>
        <w:bottom w:val="single" w:sz="4" w:space="0" w:color="E88B9A" w:themeColor="accent4" w:themeTint="66"/>
        <w:right w:val="single" w:sz="4" w:space="0" w:color="E88B9A" w:themeColor="accent4" w:themeTint="66"/>
        <w:insideH w:val="single" w:sz="4" w:space="0" w:color="E88B9A" w:themeColor="accent4" w:themeTint="66"/>
        <w:insideV w:val="single" w:sz="4" w:space="0" w:color="E88B9A" w:themeColor="accent4" w:themeTint="66"/>
      </w:tblBorders>
    </w:tblPr>
    <w:tblStylePr w:type="firstRow">
      <w:rPr>
        <w:b/>
        <w:bCs/>
      </w:rPr>
      <w:tblPr/>
      <w:tcPr>
        <w:tcBorders>
          <w:bottom w:val="single" w:sz="12" w:space="0" w:color="DC5167" w:themeColor="accent4" w:themeTint="99"/>
        </w:tcBorders>
      </w:tcPr>
    </w:tblStylePr>
    <w:tblStylePr w:type="lastRow">
      <w:rPr>
        <w:b/>
        <w:bCs/>
      </w:rPr>
      <w:tblPr/>
      <w:tcPr>
        <w:tcBorders>
          <w:top w:val="double" w:sz="2" w:space="0" w:color="DC5167"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1835F7"/>
    <w:tblPr>
      <w:tblStyleRowBandSize w:val="1"/>
      <w:tblStyleColBandSize w:val="1"/>
      <w:tblBorders>
        <w:top w:val="single" w:sz="4" w:space="0" w:color="CFD690" w:themeColor="accent5" w:themeTint="66"/>
        <w:left w:val="single" w:sz="4" w:space="0" w:color="CFD690" w:themeColor="accent5" w:themeTint="66"/>
        <w:bottom w:val="single" w:sz="4" w:space="0" w:color="CFD690" w:themeColor="accent5" w:themeTint="66"/>
        <w:right w:val="single" w:sz="4" w:space="0" w:color="CFD690" w:themeColor="accent5" w:themeTint="66"/>
        <w:insideH w:val="single" w:sz="4" w:space="0" w:color="CFD690" w:themeColor="accent5" w:themeTint="66"/>
        <w:insideV w:val="single" w:sz="4" w:space="0" w:color="CFD690" w:themeColor="accent5" w:themeTint="66"/>
      </w:tblBorders>
    </w:tblPr>
    <w:tblStylePr w:type="firstRow">
      <w:rPr>
        <w:b/>
        <w:bCs/>
      </w:rPr>
      <w:tblPr/>
      <w:tcPr>
        <w:tcBorders>
          <w:bottom w:val="single" w:sz="12" w:space="0" w:color="B8C25A" w:themeColor="accent5" w:themeTint="99"/>
        </w:tcBorders>
      </w:tcPr>
    </w:tblStylePr>
    <w:tblStylePr w:type="lastRow">
      <w:rPr>
        <w:b/>
        <w:bCs/>
      </w:rPr>
      <w:tblPr/>
      <w:tcPr>
        <w:tcBorders>
          <w:top w:val="double" w:sz="2" w:space="0" w:color="B8C25A"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1835F7"/>
    <w:tblPr>
      <w:tblStyleRowBandSize w:val="1"/>
      <w:tblStyleColBandSize w:val="1"/>
      <w:tblBorders>
        <w:top w:val="single" w:sz="4" w:space="0" w:color="7DE8CA" w:themeColor="accent6" w:themeTint="66"/>
        <w:left w:val="single" w:sz="4" w:space="0" w:color="7DE8CA" w:themeColor="accent6" w:themeTint="66"/>
        <w:bottom w:val="single" w:sz="4" w:space="0" w:color="7DE8CA" w:themeColor="accent6" w:themeTint="66"/>
        <w:right w:val="single" w:sz="4" w:space="0" w:color="7DE8CA" w:themeColor="accent6" w:themeTint="66"/>
        <w:insideH w:val="single" w:sz="4" w:space="0" w:color="7DE8CA" w:themeColor="accent6" w:themeTint="66"/>
        <w:insideV w:val="single" w:sz="4" w:space="0" w:color="7DE8CA" w:themeColor="accent6" w:themeTint="66"/>
      </w:tblBorders>
    </w:tblPr>
    <w:tblStylePr w:type="firstRow">
      <w:rPr>
        <w:b/>
        <w:bCs/>
      </w:rPr>
      <w:tblPr/>
      <w:tcPr>
        <w:tcBorders>
          <w:bottom w:val="single" w:sz="12" w:space="0" w:color="3CDDAF" w:themeColor="accent6" w:themeTint="99"/>
        </w:tcBorders>
      </w:tcPr>
    </w:tblStylePr>
    <w:tblStylePr w:type="lastRow">
      <w:rPr>
        <w:b/>
        <w:bCs/>
      </w:rPr>
      <w:tblPr/>
      <w:tcPr>
        <w:tcBorders>
          <w:top w:val="double" w:sz="2" w:space="0" w:color="3CDDAF"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1835F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1835F7"/>
    <w:tblPr>
      <w:tblStyleRowBandSize w:val="1"/>
      <w:tblStyleColBandSize w:val="1"/>
      <w:tblBorders>
        <w:top w:val="single" w:sz="2" w:space="0" w:color="9ED4E2" w:themeColor="accent1" w:themeTint="99"/>
        <w:bottom w:val="single" w:sz="2" w:space="0" w:color="9ED4E2" w:themeColor="accent1" w:themeTint="99"/>
        <w:insideH w:val="single" w:sz="2" w:space="0" w:color="9ED4E2" w:themeColor="accent1" w:themeTint="99"/>
        <w:insideV w:val="single" w:sz="2" w:space="0" w:color="9ED4E2" w:themeColor="accent1" w:themeTint="99"/>
      </w:tblBorders>
    </w:tblPr>
    <w:tblStylePr w:type="firstRow">
      <w:rPr>
        <w:b/>
        <w:bCs/>
      </w:rPr>
      <w:tblPr/>
      <w:tcPr>
        <w:tcBorders>
          <w:top w:val="nil"/>
          <w:bottom w:val="single" w:sz="12" w:space="0" w:color="9ED4E2" w:themeColor="accent1" w:themeTint="99"/>
          <w:insideH w:val="nil"/>
          <w:insideV w:val="nil"/>
        </w:tcBorders>
        <w:shd w:val="clear" w:color="auto" w:fill="FFFFFF" w:themeFill="background1"/>
      </w:tcPr>
    </w:tblStylePr>
    <w:tblStylePr w:type="lastRow">
      <w:rPr>
        <w:b/>
        <w:bCs/>
      </w:rPr>
      <w:tblPr/>
      <w:tcPr>
        <w:tcBorders>
          <w:top w:val="double" w:sz="2" w:space="0" w:color="9ED4E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Gitternetztabelle2Akzent2">
    <w:name w:val="Grid Table 2 Accent 2"/>
    <w:basedOn w:val="NormaleTabelle"/>
    <w:uiPriority w:val="47"/>
    <w:rsid w:val="001835F7"/>
    <w:tblPr>
      <w:tblStyleRowBandSize w:val="1"/>
      <w:tblStyleColBandSize w:val="1"/>
      <w:tblBorders>
        <w:top w:val="single" w:sz="2" w:space="0" w:color="CACACA" w:themeColor="accent2" w:themeTint="99"/>
        <w:bottom w:val="single" w:sz="2" w:space="0" w:color="CACACA" w:themeColor="accent2" w:themeTint="99"/>
        <w:insideH w:val="single" w:sz="2" w:space="0" w:color="CACACA" w:themeColor="accent2" w:themeTint="99"/>
        <w:insideV w:val="single" w:sz="2" w:space="0" w:color="CACACA" w:themeColor="accent2" w:themeTint="99"/>
      </w:tblBorders>
    </w:tblPr>
    <w:tblStylePr w:type="firstRow">
      <w:rPr>
        <w:b/>
        <w:bCs/>
      </w:rPr>
      <w:tblPr/>
      <w:tcPr>
        <w:tcBorders>
          <w:top w:val="nil"/>
          <w:bottom w:val="single" w:sz="12" w:space="0" w:color="CACACA" w:themeColor="accent2" w:themeTint="99"/>
          <w:insideH w:val="nil"/>
          <w:insideV w:val="nil"/>
        </w:tcBorders>
        <w:shd w:val="clear" w:color="auto" w:fill="FFFFFF" w:themeFill="background1"/>
      </w:tcPr>
    </w:tblStylePr>
    <w:tblStylePr w:type="lastRow">
      <w:rPr>
        <w:b/>
        <w:bCs/>
      </w:rPr>
      <w:tblPr/>
      <w:tcPr>
        <w:tcBorders>
          <w:top w:val="double" w:sz="2" w:space="0" w:color="CACAC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Gitternetztabelle2Akzent3">
    <w:name w:val="Grid Table 2 Accent 3"/>
    <w:basedOn w:val="NormaleTabelle"/>
    <w:uiPriority w:val="47"/>
    <w:rsid w:val="001835F7"/>
    <w:tblPr>
      <w:tblStyleRowBandSize w:val="1"/>
      <w:tblStyleColBandSize w:val="1"/>
      <w:tblBorders>
        <w:top w:val="single" w:sz="2" w:space="0" w:color="ACD1C4" w:themeColor="accent3" w:themeTint="99"/>
        <w:bottom w:val="single" w:sz="2" w:space="0" w:color="ACD1C4" w:themeColor="accent3" w:themeTint="99"/>
        <w:insideH w:val="single" w:sz="2" w:space="0" w:color="ACD1C4" w:themeColor="accent3" w:themeTint="99"/>
        <w:insideV w:val="single" w:sz="2" w:space="0" w:color="ACD1C4" w:themeColor="accent3" w:themeTint="99"/>
      </w:tblBorders>
    </w:tblPr>
    <w:tblStylePr w:type="firstRow">
      <w:rPr>
        <w:b/>
        <w:bCs/>
      </w:rPr>
      <w:tblPr/>
      <w:tcPr>
        <w:tcBorders>
          <w:top w:val="nil"/>
          <w:bottom w:val="single" w:sz="12" w:space="0" w:color="ACD1C4" w:themeColor="accent3" w:themeTint="99"/>
          <w:insideH w:val="nil"/>
          <w:insideV w:val="nil"/>
        </w:tcBorders>
        <w:shd w:val="clear" w:color="auto" w:fill="FFFFFF" w:themeFill="background1"/>
      </w:tcPr>
    </w:tblStylePr>
    <w:tblStylePr w:type="lastRow">
      <w:rPr>
        <w:b/>
        <w:bCs/>
      </w:rPr>
      <w:tblPr/>
      <w:tcPr>
        <w:tcBorders>
          <w:top w:val="double" w:sz="2" w:space="0" w:color="ACD1C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Gitternetztabelle2Akzent4">
    <w:name w:val="Grid Table 2 Accent 4"/>
    <w:basedOn w:val="NormaleTabelle"/>
    <w:uiPriority w:val="47"/>
    <w:rsid w:val="001835F7"/>
    <w:tblPr>
      <w:tblStyleRowBandSize w:val="1"/>
      <w:tblStyleColBandSize w:val="1"/>
      <w:tblBorders>
        <w:top w:val="single" w:sz="2" w:space="0" w:color="DC5167" w:themeColor="accent4" w:themeTint="99"/>
        <w:bottom w:val="single" w:sz="2" w:space="0" w:color="DC5167" w:themeColor="accent4" w:themeTint="99"/>
        <w:insideH w:val="single" w:sz="2" w:space="0" w:color="DC5167" w:themeColor="accent4" w:themeTint="99"/>
        <w:insideV w:val="single" w:sz="2" w:space="0" w:color="DC5167" w:themeColor="accent4" w:themeTint="99"/>
      </w:tblBorders>
    </w:tblPr>
    <w:tblStylePr w:type="firstRow">
      <w:rPr>
        <w:b/>
        <w:bCs/>
      </w:rPr>
      <w:tblPr/>
      <w:tcPr>
        <w:tcBorders>
          <w:top w:val="nil"/>
          <w:bottom w:val="single" w:sz="12" w:space="0" w:color="DC5167" w:themeColor="accent4" w:themeTint="99"/>
          <w:insideH w:val="nil"/>
          <w:insideV w:val="nil"/>
        </w:tcBorders>
        <w:shd w:val="clear" w:color="auto" w:fill="FFFFFF" w:themeFill="background1"/>
      </w:tcPr>
    </w:tblStylePr>
    <w:tblStylePr w:type="lastRow">
      <w:rPr>
        <w:b/>
        <w:bCs/>
      </w:rPr>
      <w:tblPr/>
      <w:tcPr>
        <w:tcBorders>
          <w:top w:val="double" w:sz="2" w:space="0" w:color="DC516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Gitternetztabelle2Akzent5">
    <w:name w:val="Grid Table 2 Accent 5"/>
    <w:basedOn w:val="NormaleTabelle"/>
    <w:uiPriority w:val="47"/>
    <w:rsid w:val="001835F7"/>
    <w:tblPr>
      <w:tblStyleRowBandSize w:val="1"/>
      <w:tblStyleColBandSize w:val="1"/>
      <w:tblBorders>
        <w:top w:val="single" w:sz="2" w:space="0" w:color="B8C25A" w:themeColor="accent5" w:themeTint="99"/>
        <w:bottom w:val="single" w:sz="2" w:space="0" w:color="B8C25A" w:themeColor="accent5" w:themeTint="99"/>
        <w:insideH w:val="single" w:sz="2" w:space="0" w:color="B8C25A" w:themeColor="accent5" w:themeTint="99"/>
        <w:insideV w:val="single" w:sz="2" w:space="0" w:color="B8C25A" w:themeColor="accent5" w:themeTint="99"/>
      </w:tblBorders>
    </w:tblPr>
    <w:tblStylePr w:type="firstRow">
      <w:rPr>
        <w:b/>
        <w:bCs/>
      </w:rPr>
      <w:tblPr/>
      <w:tcPr>
        <w:tcBorders>
          <w:top w:val="nil"/>
          <w:bottom w:val="single" w:sz="12" w:space="0" w:color="B8C25A" w:themeColor="accent5" w:themeTint="99"/>
          <w:insideH w:val="nil"/>
          <w:insideV w:val="nil"/>
        </w:tcBorders>
        <w:shd w:val="clear" w:color="auto" w:fill="FFFFFF" w:themeFill="background1"/>
      </w:tcPr>
    </w:tblStylePr>
    <w:tblStylePr w:type="lastRow">
      <w:rPr>
        <w:b/>
        <w:bCs/>
      </w:rPr>
      <w:tblPr/>
      <w:tcPr>
        <w:tcBorders>
          <w:top w:val="double" w:sz="2" w:space="0" w:color="B8C25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Gitternetztabelle2Akzent6">
    <w:name w:val="Grid Table 2 Accent 6"/>
    <w:basedOn w:val="NormaleTabelle"/>
    <w:uiPriority w:val="47"/>
    <w:rsid w:val="001835F7"/>
    <w:tblPr>
      <w:tblStyleRowBandSize w:val="1"/>
      <w:tblStyleColBandSize w:val="1"/>
      <w:tblBorders>
        <w:top w:val="single" w:sz="2" w:space="0" w:color="3CDDAF" w:themeColor="accent6" w:themeTint="99"/>
        <w:bottom w:val="single" w:sz="2" w:space="0" w:color="3CDDAF" w:themeColor="accent6" w:themeTint="99"/>
        <w:insideH w:val="single" w:sz="2" w:space="0" w:color="3CDDAF" w:themeColor="accent6" w:themeTint="99"/>
        <w:insideV w:val="single" w:sz="2" w:space="0" w:color="3CDDAF" w:themeColor="accent6" w:themeTint="99"/>
      </w:tblBorders>
    </w:tblPr>
    <w:tblStylePr w:type="firstRow">
      <w:rPr>
        <w:b/>
        <w:bCs/>
      </w:rPr>
      <w:tblPr/>
      <w:tcPr>
        <w:tcBorders>
          <w:top w:val="nil"/>
          <w:bottom w:val="single" w:sz="12" w:space="0" w:color="3CDDAF" w:themeColor="accent6" w:themeTint="99"/>
          <w:insideH w:val="nil"/>
          <w:insideV w:val="nil"/>
        </w:tcBorders>
        <w:shd w:val="clear" w:color="auto" w:fill="FFFFFF" w:themeFill="background1"/>
      </w:tcPr>
    </w:tblStylePr>
    <w:tblStylePr w:type="lastRow">
      <w:rPr>
        <w:b/>
        <w:bCs/>
      </w:rPr>
      <w:tblPr/>
      <w:tcPr>
        <w:tcBorders>
          <w:top w:val="double" w:sz="2" w:space="0" w:color="3CDDA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Gitternetztabelle3">
    <w:name w:val="Grid Table 3"/>
    <w:basedOn w:val="NormaleTabelle"/>
    <w:uiPriority w:val="48"/>
    <w:rsid w:val="001835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1835F7"/>
    <w:tblPr>
      <w:tblStyleRowBandSize w:val="1"/>
      <w:tblStyleColBandSize w:val="1"/>
      <w:tblBorders>
        <w:top w:val="single" w:sz="4" w:space="0" w:color="9ED4E2" w:themeColor="accent1" w:themeTint="99"/>
        <w:left w:val="single" w:sz="4" w:space="0" w:color="9ED4E2" w:themeColor="accent1" w:themeTint="99"/>
        <w:bottom w:val="single" w:sz="4" w:space="0" w:color="9ED4E2" w:themeColor="accent1" w:themeTint="99"/>
        <w:right w:val="single" w:sz="4" w:space="0" w:color="9ED4E2" w:themeColor="accent1" w:themeTint="99"/>
        <w:insideH w:val="single" w:sz="4" w:space="0" w:color="9ED4E2" w:themeColor="accent1" w:themeTint="99"/>
        <w:insideV w:val="single" w:sz="4" w:space="0" w:color="9ED4E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5" w:themeFill="accent1" w:themeFillTint="33"/>
      </w:tcPr>
    </w:tblStylePr>
    <w:tblStylePr w:type="band1Horz">
      <w:tblPr/>
      <w:tcPr>
        <w:shd w:val="clear" w:color="auto" w:fill="DEF0F5" w:themeFill="accent1" w:themeFillTint="33"/>
      </w:tcPr>
    </w:tblStylePr>
    <w:tblStylePr w:type="neCell">
      <w:tblPr/>
      <w:tcPr>
        <w:tcBorders>
          <w:bottom w:val="single" w:sz="4" w:space="0" w:color="9ED4E2" w:themeColor="accent1" w:themeTint="99"/>
        </w:tcBorders>
      </w:tcPr>
    </w:tblStylePr>
    <w:tblStylePr w:type="nwCell">
      <w:tblPr/>
      <w:tcPr>
        <w:tcBorders>
          <w:bottom w:val="single" w:sz="4" w:space="0" w:color="9ED4E2" w:themeColor="accent1" w:themeTint="99"/>
        </w:tcBorders>
      </w:tcPr>
    </w:tblStylePr>
    <w:tblStylePr w:type="seCell">
      <w:tblPr/>
      <w:tcPr>
        <w:tcBorders>
          <w:top w:val="single" w:sz="4" w:space="0" w:color="9ED4E2" w:themeColor="accent1" w:themeTint="99"/>
        </w:tcBorders>
      </w:tcPr>
    </w:tblStylePr>
    <w:tblStylePr w:type="swCell">
      <w:tblPr/>
      <w:tcPr>
        <w:tcBorders>
          <w:top w:val="single" w:sz="4" w:space="0" w:color="9ED4E2" w:themeColor="accent1" w:themeTint="99"/>
        </w:tcBorders>
      </w:tcPr>
    </w:tblStylePr>
  </w:style>
  <w:style w:type="table" w:styleId="Gitternetztabelle3Akzent2">
    <w:name w:val="Grid Table 3 Accent 2"/>
    <w:basedOn w:val="NormaleTabelle"/>
    <w:uiPriority w:val="48"/>
    <w:rsid w:val="001835F7"/>
    <w:tblPr>
      <w:tblStyleRowBandSize w:val="1"/>
      <w:tblStyleColBandSize w:val="1"/>
      <w:tblBorders>
        <w:top w:val="single" w:sz="4" w:space="0" w:color="CACACA" w:themeColor="accent2" w:themeTint="99"/>
        <w:left w:val="single" w:sz="4" w:space="0" w:color="CACACA" w:themeColor="accent2" w:themeTint="99"/>
        <w:bottom w:val="single" w:sz="4" w:space="0" w:color="CACACA" w:themeColor="accent2" w:themeTint="99"/>
        <w:right w:val="single" w:sz="4" w:space="0" w:color="CACACA" w:themeColor="accent2" w:themeTint="99"/>
        <w:insideH w:val="single" w:sz="4" w:space="0" w:color="CACACA" w:themeColor="accent2" w:themeTint="99"/>
        <w:insideV w:val="single" w:sz="4" w:space="0" w:color="CACAC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2" w:themeFillTint="33"/>
      </w:tcPr>
    </w:tblStylePr>
    <w:tblStylePr w:type="band1Horz">
      <w:tblPr/>
      <w:tcPr>
        <w:shd w:val="clear" w:color="auto" w:fill="EDEDED" w:themeFill="accent2" w:themeFillTint="33"/>
      </w:tcPr>
    </w:tblStylePr>
    <w:tblStylePr w:type="neCell">
      <w:tblPr/>
      <w:tcPr>
        <w:tcBorders>
          <w:bottom w:val="single" w:sz="4" w:space="0" w:color="CACACA" w:themeColor="accent2" w:themeTint="99"/>
        </w:tcBorders>
      </w:tcPr>
    </w:tblStylePr>
    <w:tblStylePr w:type="nwCell">
      <w:tblPr/>
      <w:tcPr>
        <w:tcBorders>
          <w:bottom w:val="single" w:sz="4" w:space="0" w:color="CACACA" w:themeColor="accent2" w:themeTint="99"/>
        </w:tcBorders>
      </w:tcPr>
    </w:tblStylePr>
    <w:tblStylePr w:type="seCell">
      <w:tblPr/>
      <w:tcPr>
        <w:tcBorders>
          <w:top w:val="single" w:sz="4" w:space="0" w:color="CACACA" w:themeColor="accent2" w:themeTint="99"/>
        </w:tcBorders>
      </w:tcPr>
    </w:tblStylePr>
    <w:tblStylePr w:type="swCell">
      <w:tblPr/>
      <w:tcPr>
        <w:tcBorders>
          <w:top w:val="single" w:sz="4" w:space="0" w:color="CACACA" w:themeColor="accent2" w:themeTint="99"/>
        </w:tcBorders>
      </w:tcPr>
    </w:tblStylePr>
  </w:style>
  <w:style w:type="table" w:styleId="Gitternetztabelle3Akzent3">
    <w:name w:val="Grid Table 3 Accent 3"/>
    <w:basedOn w:val="NormaleTabelle"/>
    <w:uiPriority w:val="48"/>
    <w:rsid w:val="001835F7"/>
    <w:tblPr>
      <w:tblStyleRowBandSize w:val="1"/>
      <w:tblStyleColBandSize w:val="1"/>
      <w:tblBorders>
        <w:top w:val="single" w:sz="4" w:space="0" w:color="ACD1C4" w:themeColor="accent3" w:themeTint="99"/>
        <w:left w:val="single" w:sz="4" w:space="0" w:color="ACD1C4" w:themeColor="accent3" w:themeTint="99"/>
        <w:bottom w:val="single" w:sz="4" w:space="0" w:color="ACD1C4" w:themeColor="accent3" w:themeTint="99"/>
        <w:right w:val="single" w:sz="4" w:space="0" w:color="ACD1C4" w:themeColor="accent3" w:themeTint="99"/>
        <w:insideH w:val="single" w:sz="4" w:space="0" w:color="ACD1C4" w:themeColor="accent3" w:themeTint="99"/>
        <w:insideV w:val="single" w:sz="4" w:space="0" w:color="ACD1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FEB" w:themeFill="accent3" w:themeFillTint="33"/>
      </w:tcPr>
    </w:tblStylePr>
    <w:tblStylePr w:type="band1Horz">
      <w:tblPr/>
      <w:tcPr>
        <w:shd w:val="clear" w:color="auto" w:fill="E3EFEB" w:themeFill="accent3" w:themeFillTint="33"/>
      </w:tcPr>
    </w:tblStylePr>
    <w:tblStylePr w:type="neCell">
      <w:tblPr/>
      <w:tcPr>
        <w:tcBorders>
          <w:bottom w:val="single" w:sz="4" w:space="0" w:color="ACD1C4" w:themeColor="accent3" w:themeTint="99"/>
        </w:tcBorders>
      </w:tcPr>
    </w:tblStylePr>
    <w:tblStylePr w:type="nwCell">
      <w:tblPr/>
      <w:tcPr>
        <w:tcBorders>
          <w:bottom w:val="single" w:sz="4" w:space="0" w:color="ACD1C4" w:themeColor="accent3" w:themeTint="99"/>
        </w:tcBorders>
      </w:tcPr>
    </w:tblStylePr>
    <w:tblStylePr w:type="seCell">
      <w:tblPr/>
      <w:tcPr>
        <w:tcBorders>
          <w:top w:val="single" w:sz="4" w:space="0" w:color="ACD1C4" w:themeColor="accent3" w:themeTint="99"/>
        </w:tcBorders>
      </w:tcPr>
    </w:tblStylePr>
    <w:tblStylePr w:type="swCell">
      <w:tblPr/>
      <w:tcPr>
        <w:tcBorders>
          <w:top w:val="single" w:sz="4" w:space="0" w:color="ACD1C4" w:themeColor="accent3" w:themeTint="99"/>
        </w:tcBorders>
      </w:tcPr>
    </w:tblStylePr>
  </w:style>
  <w:style w:type="table" w:styleId="Gitternetztabelle3Akzent4">
    <w:name w:val="Grid Table 3 Accent 4"/>
    <w:basedOn w:val="NormaleTabelle"/>
    <w:uiPriority w:val="48"/>
    <w:rsid w:val="001835F7"/>
    <w:tblPr>
      <w:tblStyleRowBandSize w:val="1"/>
      <w:tblStyleColBandSize w:val="1"/>
      <w:tblBorders>
        <w:top w:val="single" w:sz="4" w:space="0" w:color="DC5167" w:themeColor="accent4" w:themeTint="99"/>
        <w:left w:val="single" w:sz="4" w:space="0" w:color="DC5167" w:themeColor="accent4" w:themeTint="99"/>
        <w:bottom w:val="single" w:sz="4" w:space="0" w:color="DC5167" w:themeColor="accent4" w:themeTint="99"/>
        <w:right w:val="single" w:sz="4" w:space="0" w:color="DC5167" w:themeColor="accent4" w:themeTint="99"/>
        <w:insideH w:val="single" w:sz="4" w:space="0" w:color="DC5167" w:themeColor="accent4" w:themeTint="99"/>
        <w:insideV w:val="single" w:sz="4" w:space="0" w:color="DC516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5CC" w:themeFill="accent4" w:themeFillTint="33"/>
      </w:tcPr>
    </w:tblStylePr>
    <w:tblStylePr w:type="band1Horz">
      <w:tblPr/>
      <w:tcPr>
        <w:shd w:val="clear" w:color="auto" w:fill="F3C5CC" w:themeFill="accent4" w:themeFillTint="33"/>
      </w:tcPr>
    </w:tblStylePr>
    <w:tblStylePr w:type="neCell">
      <w:tblPr/>
      <w:tcPr>
        <w:tcBorders>
          <w:bottom w:val="single" w:sz="4" w:space="0" w:color="DC5167" w:themeColor="accent4" w:themeTint="99"/>
        </w:tcBorders>
      </w:tcPr>
    </w:tblStylePr>
    <w:tblStylePr w:type="nwCell">
      <w:tblPr/>
      <w:tcPr>
        <w:tcBorders>
          <w:bottom w:val="single" w:sz="4" w:space="0" w:color="DC5167" w:themeColor="accent4" w:themeTint="99"/>
        </w:tcBorders>
      </w:tcPr>
    </w:tblStylePr>
    <w:tblStylePr w:type="seCell">
      <w:tblPr/>
      <w:tcPr>
        <w:tcBorders>
          <w:top w:val="single" w:sz="4" w:space="0" w:color="DC5167" w:themeColor="accent4" w:themeTint="99"/>
        </w:tcBorders>
      </w:tcPr>
    </w:tblStylePr>
    <w:tblStylePr w:type="swCell">
      <w:tblPr/>
      <w:tcPr>
        <w:tcBorders>
          <w:top w:val="single" w:sz="4" w:space="0" w:color="DC5167" w:themeColor="accent4" w:themeTint="99"/>
        </w:tcBorders>
      </w:tcPr>
    </w:tblStylePr>
  </w:style>
  <w:style w:type="table" w:styleId="Gitternetztabelle3Akzent5">
    <w:name w:val="Grid Table 3 Accent 5"/>
    <w:basedOn w:val="NormaleTabelle"/>
    <w:uiPriority w:val="48"/>
    <w:rsid w:val="001835F7"/>
    <w:tblPr>
      <w:tblStyleRowBandSize w:val="1"/>
      <w:tblStyleColBandSize w:val="1"/>
      <w:tblBorders>
        <w:top w:val="single" w:sz="4" w:space="0" w:color="B8C25A" w:themeColor="accent5" w:themeTint="99"/>
        <w:left w:val="single" w:sz="4" w:space="0" w:color="B8C25A" w:themeColor="accent5" w:themeTint="99"/>
        <w:bottom w:val="single" w:sz="4" w:space="0" w:color="B8C25A" w:themeColor="accent5" w:themeTint="99"/>
        <w:right w:val="single" w:sz="4" w:space="0" w:color="B8C25A" w:themeColor="accent5" w:themeTint="99"/>
        <w:insideH w:val="single" w:sz="4" w:space="0" w:color="B8C25A" w:themeColor="accent5" w:themeTint="99"/>
        <w:insideV w:val="single" w:sz="4" w:space="0" w:color="B8C25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AC7" w:themeFill="accent5" w:themeFillTint="33"/>
      </w:tcPr>
    </w:tblStylePr>
    <w:tblStylePr w:type="band1Horz">
      <w:tblPr/>
      <w:tcPr>
        <w:shd w:val="clear" w:color="auto" w:fill="E7EAC7" w:themeFill="accent5" w:themeFillTint="33"/>
      </w:tcPr>
    </w:tblStylePr>
    <w:tblStylePr w:type="neCell">
      <w:tblPr/>
      <w:tcPr>
        <w:tcBorders>
          <w:bottom w:val="single" w:sz="4" w:space="0" w:color="B8C25A" w:themeColor="accent5" w:themeTint="99"/>
        </w:tcBorders>
      </w:tcPr>
    </w:tblStylePr>
    <w:tblStylePr w:type="nwCell">
      <w:tblPr/>
      <w:tcPr>
        <w:tcBorders>
          <w:bottom w:val="single" w:sz="4" w:space="0" w:color="B8C25A" w:themeColor="accent5" w:themeTint="99"/>
        </w:tcBorders>
      </w:tcPr>
    </w:tblStylePr>
    <w:tblStylePr w:type="seCell">
      <w:tblPr/>
      <w:tcPr>
        <w:tcBorders>
          <w:top w:val="single" w:sz="4" w:space="0" w:color="B8C25A" w:themeColor="accent5" w:themeTint="99"/>
        </w:tcBorders>
      </w:tcPr>
    </w:tblStylePr>
    <w:tblStylePr w:type="swCell">
      <w:tblPr/>
      <w:tcPr>
        <w:tcBorders>
          <w:top w:val="single" w:sz="4" w:space="0" w:color="B8C25A" w:themeColor="accent5" w:themeTint="99"/>
        </w:tcBorders>
      </w:tcPr>
    </w:tblStylePr>
  </w:style>
  <w:style w:type="table" w:styleId="Gitternetztabelle3Akzent6">
    <w:name w:val="Grid Table 3 Accent 6"/>
    <w:basedOn w:val="NormaleTabelle"/>
    <w:uiPriority w:val="48"/>
    <w:rsid w:val="001835F7"/>
    <w:tblPr>
      <w:tblStyleRowBandSize w:val="1"/>
      <w:tblStyleColBandSize w:val="1"/>
      <w:tblBorders>
        <w:top w:val="single" w:sz="4" w:space="0" w:color="3CDDAF" w:themeColor="accent6" w:themeTint="99"/>
        <w:left w:val="single" w:sz="4" w:space="0" w:color="3CDDAF" w:themeColor="accent6" w:themeTint="99"/>
        <w:bottom w:val="single" w:sz="4" w:space="0" w:color="3CDDAF" w:themeColor="accent6" w:themeTint="99"/>
        <w:right w:val="single" w:sz="4" w:space="0" w:color="3CDDAF" w:themeColor="accent6" w:themeTint="99"/>
        <w:insideH w:val="single" w:sz="4" w:space="0" w:color="3CDDAF" w:themeColor="accent6" w:themeTint="99"/>
        <w:insideV w:val="single" w:sz="4" w:space="0" w:color="3CDDA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4E4" w:themeFill="accent6" w:themeFillTint="33"/>
      </w:tcPr>
    </w:tblStylePr>
    <w:tblStylePr w:type="band1Horz">
      <w:tblPr/>
      <w:tcPr>
        <w:shd w:val="clear" w:color="auto" w:fill="BEF4E4" w:themeFill="accent6" w:themeFillTint="33"/>
      </w:tcPr>
    </w:tblStylePr>
    <w:tblStylePr w:type="neCell">
      <w:tblPr/>
      <w:tcPr>
        <w:tcBorders>
          <w:bottom w:val="single" w:sz="4" w:space="0" w:color="3CDDAF" w:themeColor="accent6" w:themeTint="99"/>
        </w:tcBorders>
      </w:tcPr>
    </w:tblStylePr>
    <w:tblStylePr w:type="nwCell">
      <w:tblPr/>
      <w:tcPr>
        <w:tcBorders>
          <w:bottom w:val="single" w:sz="4" w:space="0" w:color="3CDDAF" w:themeColor="accent6" w:themeTint="99"/>
        </w:tcBorders>
      </w:tcPr>
    </w:tblStylePr>
    <w:tblStylePr w:type="seCell">
      <w:tblPr/>
      <w:tcPr>
        <w:tcBorders>
          <w:top w:val="single" w:sz="4" w:space="0" w:color="3CDDAF" w:themeColor="accent6" w:themeTint="99"/>
        </w:tcBorders>
      </w:tcPr>
    </w:tblStylePr>
    <w:tblStylePr w:type="swCell">
      <w:tblPr/>
      <w:tcPr>
        <w:tcBorders>
          <w:top w:val="single" w:sz="4" w:space="0" w:color="3CDDAF" w:themeColor="accent6" w:themeTint="99"/>
        </w:tcBorders>
      </w:tcPr>
    </w:tblStylePr>
  </w:style>
  <w:style w:type="table" w:styleId="Gitternetztabelle4">
    <w:name w:val="Grid Table 4"/>
    <w:basedOn w:val="NormaleTabelle"/>
    <w:uiPriority w:val="49"/>
    <w:rsid w:val="001835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1835F7"/>
    <w:tblPr>
      <w:tblStyleRowBandSize w:val="1"/>
      <w:tblStyleColBandSize w:val="1"/>
      <w:tblBorders>
        <w:top w:val="single" w:sz="4" w:space="0" w:color="9ED4E2" w:themeColor="accent1" w:themeTint="99"/>
        <w:left w:val="single" w:sz="4" w:space="0" w:color="9ED4E2" w:themeColor="accent1" w:themeTint="99"/>
        <w:bottom w:val="single" w:sz="4" w:space="0" w:color="9ED4E2" w:themeColor="accent1" w:themeTint="99"/>
        <w:right w:val="single" w:sz="4" w:space="0" w:color="9ED4E2" w:themeColor="accent1" w:themeTint="99"/>
        <w:insideH w:val="single" w:sz="4" w:space="0" w:color="9ED4E2" w:themeColor="accent1" w:themeTint="99"/>
        <w:insideV w:val="single" w:sz="4" w:space="0" w:color="9ED4E2" w:themeColor="accent1" w:themeTint="99"/>
      </w:tblBorders>
    </w:tblPr>
    <w:tblStylePr w:type="firstRow">
      <w:rPr>
        <w:b/>
        <w:bCs/>
        <w:color w:val="FFFFFF" w:themeColor="background1"/>
      </w:rPr>
      <w:tblPr/>
      <w:tcPr>
        <w:tcBorders>
          <w:top w:val="single" w:sz="4" w:space="0" w:color="5EB9CF" w:themeColor="accent1"/>
          <w:left w:val="single" w:sz="4" w:space="0" w:color="5EB9CF" w:themeColor="accent1"/>
          <w:bottom w:val="single" w:sz="4" w:space="0" w:color="5EB9CF" w:themeColor="accent1"/>
          <w:right w:val="single" w:sz="4" w:space="0" w:color="5EB9CF" w:themeColor="accent1"/>
          <w:insideH w:val="nil"/>
          <w:insideV w:val="nil"/>
        </w:tcBorders>
        <w:shd w:val="clear" w:color="auto" w:fill="5EB9CF" w:themeFill="accent1"/>
      </w:tcPr>
    </w:tblStylePr>
    <w:tblStylePr w:type="lastRow">
      <w:rPr>
        <w:b/>
        <w:bCs/>
      </w:rPr>
      <w:tblPr/>
      <w:tcPr>
        <w:tcBorders>
          <w:top w:val="double" w:sz="4" w:space="0" w:color="5EB9CF" w:themeColor="accent1"/>
        </w:tcBorders>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Gitternetztabelle4Akzent2">
    <w:name w:val="Grid Table 4 Accent 2"/>
    <w:basedOn w:val="NormaleTabelle"/>
    <w:uiPriority w:val="49"/>
    <w:rsid w:val="001835F7"/>
    <w:tblPr>
      <w:tblStyleRowBandSize w:val="1"/>
      <w:tblStyleColBandSize w:val="1"/>
      <w:tblBorders>
        <w:top w:val="single" w:sz="4" w:space="0" w:color="CACACA" w:themeColor="accent2" w:themeTint="99"/>
        <w:left w:val="single" w:sz="4" w:space="0" w:color="CACACA" w:themeColor="accent2" w:themeTint="99"/>
        <w:bottom w:val="single" w:sz="4" w:space="0" w:color="CACACA" w:themeColor="accent2" w:themeTint="99"/>
        <w:right w:val="single" w:sz="4" w:space="0" w:color="CACACA" w:themeColor="accent2" w:themeTint="99"/>
        <w:insideH w:val="single" w:sz="4" w:space="0" w:color="CACACA" w:themeColor="accent2" w:themeTint="99"/>
        <w:insideV w:val="single" w:sz="4" w:space="0" w:color="CACACA" w:themeColor="accent2" w:themeTint="99"/>
      </w:tblBorders>
    </w:tblPr>
    <w:tblStylePr w:type="firstRow">
      <w:rPr>
        <w:b/>
        <w:bCs/>
        <w:color w:val="FFFFFF" w:themeColor="background1"/>
      </w:rPr>
      <w:tblPr/>
      <w:tcPr>
        <w:tcBorders>
          <w:top w:val="single" w:sz="4" w:space="0" w:color="A8A8A8" w:themeColor="accent2"/>
          <w:left w:val="single" w:sz="4" w:space="0" w:color="A8A8A8" w:themeColor="accent2"/>
          <w:bottom w:val="single" w:sz="4" w:space="0" w:color="A8A8A8" w:themeColor="accent2"/>
          <w:right w:val="single" w:sz="4" w:space="0" w:color="A8A8A8" w:themeColor="accent2"/>
          <w:insideH w:val="nil"/>
          <w:insideV w:val="nil"/>
        </w:tcBorders>
        <w:shd w:val="clear" w:color="auto" w:fill="A8A8A8" w:themeFill="accent2"/>
      </w:tcPr>
    </w:tblStylePr>
    <w:tblStylePr w:type="lastRow">
      <w:rPr>
        <w:b/>
        <w:bCs/>
      </w:rPr>
      <w:tblPr/>
      <w:tcPr>
        <w:tcBorders>
          <w:top w:val="double" w:sz="4" w:space="0" w:color="A8A8A8" w:themeColor="accent2"/>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Gitternetztabelle4Akzent3">
    <w:name w:val="Grid Table 4 Accent 3"/>
    <w:basedOn w:val="NormaleTabelle"/>
    <w:uiPriority w:val="49"/>
    <w:rsid w:val="001835F7"/>
    <w:tblPr>
      <w:tblStyleRowBandSize w:val="1"/>
      <w:tblStyleColBandSize w:val="1"/>
      <w:tblBorders>
        <w:top w:val="single" w:sz="4" w:space="0" w:color="ACD1C4" w:themeColor="accent3" w:themeTint="99"/>
        <w:left w:val="single" w:sz="4" w:space="0" w:color="ACD1C4" w:themeColor="accent3" w:themeTint="99"/>
        <w:bottom w:val="single" w:sz="4" w:space="0" w:color="ACD1C4" w:themeColor="accent3" w:themeTint="99"/>
        <w:right w:val="single" w:sz="4" w:space="0" w:color="ACD1C4" w:themeColor="accent3" w:themeTint="99"/>
        <w:insideH w:val="single" w:sz="4" w:space="0" w:color="ACD1C4" w:themeColor="accent3" w:themeTint="99"/>
        <w:insideV w:val="single" w:sz="4" w:space="0" w:color="ACD1C4" w:themeColor="accent3" w:themeTint="99"/>
      </w:tblBorders>
    </w:tblPr>
    <w:tblStylePr w:type="firstRow">
      <w:rPr>
        <w:b/>
        <w:bCs/>
        <w:color w:val="FFFFFF" w:themeColor="background1"/>
      </w:rPr>
      <w:tblPr/>
      <w:tcPr>
        <w:tcBorders>
          <w:top w:val="single" w:sz="4" w:space="0" w:color="75B39D" w:themeColor="accent3"/>
          <w:left w:val="single" w:sz="4" w:space="0" w:color="75B39D" w:themeColor="accent3"/>
          <w:bottom w:val="single" w:sz="4" w:space="0" w:color="75B39D" w:themeColor="accent3"/>
          <w:right w:val="single" w:sz="4" w:space="0" w:color="75B39D" w:themeColor="accent3"/>
          <w:insideH w:val="nil"/>
          <w:insideV w:val="nil"/>
        </w:tcBorders>
        <w:shd w:val="clear" w:color="auto" w:fill="75B39D" w:themeFill="accent3"/>
      </w:tcPr>
    </w:tblStylePr>
    <w:tblStylePr w:type="lastRow">
      <w:rPr>
        <w:b/>
        <w:bCs/>
      </w:rPr>
      <w:tblPr/>
      <w:tcPr>
        <w:tcBorders>
          <w:top w:val="double" w:sz="4" w:space="0" w:color="75B39D" w:themeColor="accent3"/>
        </w:tcBorders>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Gitternetztabelle4Akzent4">
    <w:name w:val="Grid Table 4 Accent 4"/>
    <w:basedOn w:val="NormaleTabelle"/>
    <w:uiPriority w:val="49"/>
    <w:rsid w:val="001835F7"/>
    <w:tblPr>
      <w:tblStyleRowBandSize w:val="1"/>
      <w:tblStyleColBandSize w:val="1"/>
      <w:tblBorders>
        <w:top w:val="single" w:sz="4" w:space="0" w:color="DC5167" w:themeColor="accent4" w:themeTint="99"/>
        <w:left w:val="single" w:sz="4" w:space="0" w:color="DC5167" w:themeColor="accent4" w:themeTint="99"/>
        <w:bottom w:val="single" w:sz="4" w:space="0" w:color="DC5167" w:themeColor="accent4" w:themeTint="99"/>
        <w:right w:val="single" w:sz="4" w:space="0" w:color="DC5167" w:themeColor="accent4" w:themeTint="99"/>
        <w:insideH w:val="single" w:sz="4" w:space="0" w:color="DC5167" w:themeColor="accent4" w:themeTint="99"/>
        <w:insideV w:val="single" w:sz="4" w:space="0" w:color="DC5167" w:themeColor="accent4" w:themeTint="99"/>
      </w:tblBorders>
    </w:tblPr>
    <w:tblStylePr w:type="firstRow">
      <w:rPr>
        <w:b/>
        <w:bCs/>
        <w:color w:val="FFFFFF" w:themeColor="background1"/>
      </w:rPr>
      <w:tblPr/>
      <w:tcPr>
        <w:tcBorders>
          <w:top w:val="single" w:sz="4" w:space="0" w:color="891B2D" w:themeColor="accent4"/>
          <w:left w:val="single" w:sz="4" w:space="0" w:color="891B2D" w:themeColor="accent4"/>
          <w:bottom w:val="single" w:sz="4" w:space="0" w:color="891B2D" w:themeColor="accent4"/>
          <w:right w:val="single" w:sz="4" w:space="0" w:color="891B2D" w:themeColor="accent4"/>
          <w:insideH w:val="nil"/>
          <w:insideV w:val="nil"/>
        </w:tcBorders>
        <w:shd w:val="clear" w:color="auto" w:fill="891B2D" w:themeFill="accent4"/>
      </w:tcPr>
    </w:tblStylePr>
    <w:tblStylePr w:type="lastRow">
      <w:rPr>
        <w:b/>
        <w:bCs/>
      </w:rPr>
      <w:tblPr/>
      <w:tcPr>
        <w:tcBorders>
          <w:top w:val="double" w:sz="4" w:space="0" w:color="891B2D" w:themeColor="accent4"/>
        </w:tcBorders>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Gitternetztabelle4Akzent5">
    <w:name w:val="Grid Table 4 Accent 5"/>
    <w:basedOn w:val="NormaleTabelle"/>
    <w:uiPriority w:val="49"/>
    <w:rsid w:val="001835F7"/>
    <w:tblPr>
      <w:tblStyleRowBandSize w:val="1"/>
      <w:tblStyleColBandSize w:val="1"/>
      <w:tblBorders>
        <w:top w:val="single" w:sz="4" w:space="0" w:color="B8C25A" w:themeColor="accent5" w:themeTint="99"/>
        <w:left w:val="single" w:sz="4" w:space="0" w:color="B8C25A" w:themeColor="accent5" w:themeTint="99"/>
        <w:bottom w:val="single" w:sz="4" w:space="0" w:color="B8C25A" w:themeColor="accent5" w:themeTint="99"/>
        <w:right w:val="single" w:sz="4" w:space="0" w:color="B8C25A" w:themeColor="accent5" w:themeTint="99"/>
        <w:insideH w:val="single" w:sz="4" w:space="0" w:color="B8C25A" w:themeColor="accent5" w:themeTint="99"/>
        <w:insideV w:val="single" w:sz="4" w:space="0" w:color="B8C25A" w:themeColor="accent5" w:themeTint="99"/>
      </w:tblBorders>
    </w:tblPr>
    <w:tblStylePr w:type="firstRow">
      <w:rPr>
        <w:b/>
        <w:bCs/>
        <w:color w:val="FFFFFF" w:themeColor="background1"/>
      </w:rPr>
      <w:tblPr/>
      <w:tcPr>
        <w:tcBorders>
          <w:top w:val="single" w:sz="4" w:space="0" w:color="5C6224" w:themeColor="accent5"/>
          <w:left w:val="single" w:sz="4" w:space="0" w:color="5C6224" w:themeColor="accent5"/>
          <w:bottom w:val="single" w:sz="4" w:space="0" w:color="5C6224" w:themeColor="accent5"/>
          <w:right w:val="single" w:sz="4" w:space="0" w:color="5C6224" w:themeColor="accent5"/>
          <w:insideH w:val="nil"/>
          <w:insideV w:val="nil"/>
        </w:tcBorders>
        <w:shd w:val="clear" w:color="auto" w:fill="5C6224" w:themeFill="accent5"/>
      </w:tcPr>
    </w:tblStylePr>
    <w:tblStylePr w:type="lastRow">
      <w:rPr>
        <w:b/>
        <w:bCs/>
      </w:rPr>
      <w:tblPr/>
      <w:tcPr>
        <w:tcBorders>
          <w:top w:val="double" w:sz="4" w:space="0" w:color="5C6224" w:themeColor="accent5"/>
        </w:tcBorders>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Gitternetztabelle4Akzent6">
    <w:name w:val="Grid Table 4 Accent 6"/>
    <w:basedOn w:val="NormaleTabelle"/>
    <w:uiPriority w:val="49"/>
    <w:rsid w:val="001835F7"/>
    <w:tblPr>
      <w:tblStyleRowBandSize w:val="1"/>
      <w:tblStyleColBandSize w:val="1"/>
      <w:tblBorders>
        <w:top w:val="single" w:sz="4" w:space="0" w:color="3CDDAF" w:themeColor="accent6" w:themeTint="99"/>
        <w:left w:val="single" w:sz="4" w:space="0" w:color="3CDDAF" w:themeColor="accent6" w:themeTint="99"/>
        <w:bottom w:val="single" w:sz="4" w:space="0" w:color="3CDDAF" w:themeColor="accent6" w:themeTint="99"/>
        <w:right w:val="single" w:sz="4" w:space="0" w:color="3CDDAF" w:themeColor="accent6" w:themeTint="99"/>
        <w:insideH w:val="single" w:sz="4" w:space="0" w:color="3CDDAF" w:themeColor="accent6" w:themeTint="99"/>
        <w:insideV w:val="single" w:sz="4" w:space="0" w:color="3CDDAF" w:themeColor="accent6" w:themeTint="99"/>
      </w:tblBorders>
    </w:tblPr>
    <w:tblStylePr w:type="firstRow">
      <w:rPr>
        <w:b/>
        <w:bCs/>
        <w:color w:val="FFFFFF" w:themeColor="background1"/>
      </w:rPr>
      <w:tblPr/>
      <w:tcPr>
        <w:tcBorders>
          <w:top w:val="single" w:sz="4" w:space="0" w:color="136F55" w:themeColor="accent6"/>
          <w:left w:val="single" w:sz="4" w:space="0" w:color="136F55" w:themeColor="accent6"/>
          <w:bottom w:val="single" w:sz="4" w:space="0" w:color="136F55" w:themeColor="accent6"/>
          <w:right w:val="single" w:sz="4" w:space="0" w:color="136F55" w:themeColor="accent6"/>
          <w:insideH w:val="nil"/>
          <w:insideV w:val="nil"/>
        </w:tcBorders>
        <w:shd w:val="clear" w:color="auto" w:fill="136F55" w:themeFill="accent6"/>
      </w:tcPr>
    </w:tblStylePr>
    <w:tblStylePr w:type="lastRow">
      <w:rPr>
        <w:b/>
        <w:bCs/>
      </w:rPr>
      <w:tblPr/>
      <w:tcPr>
        <w:tcBorders>
          <w:top w:val="double" w:sz="4" w:space="0" w:color="136F55" w:themeColor="accent6"/>
        </w:tcBorders>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Gitternetztabelle5dunkel">
    <w:name w:val="Grid Table 5 Dark"/>
    <w:basedOn w:val="NormaleTabelle"/>
    <w:uiPriority w:val="50"/>
    <w:rsid w:val="001835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1835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B9C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B9C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B9C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B9CF" w:themeFill="accent1"/>
      </w:tcPr>
    </w:tblStylePr>
    <w:tblStylePr w:type="band1Vert">
      <w:tblPr/>
      <w:tcPr>
        <w:shd w:val="clear" w:color="auto" w:fill="BEE2EB" w:themeFill="accent1" w:themeFillTint="66"/>
      </w:tcPr>
    </w:tblStylePr>
    <w:tblStylePr w:type="band1Horz">
      <w:tblPr/>
      <w:tcPr>
        <w:shd w:val="clear" w:color="auto" w:fill="BEE2EB" w:themeFill="accent1" w:themeFillTint="66"/>
      </w:tcPr>
    </w:tblStylePr>
  </w:style>
  <w:style w:type="table" w:styleId="Gitternetztabelle5dunkelAkzent2">
    <w:name w:val="Grid Table 5 Dark Accent 2"/>
    <w:basedOn w:val="NormaleTabelle"/>
    <w:uiPriority w:val="50"/>
    <w:rsid w:val="001835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A8A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8A8A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8A8A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A8A8" w:themeFill="accent2"/>
      </w:tcPr>
    </w:tblStylePr>
    <w:tblStylePr w:type="band1Vert">
      <w:tblPr/>
      <w:tcPr>
        <w:shd w:val="clear" w:color="auto" w:fill="DCDCDC" w:themeFill="accent2" w:themeFillTint="66"/>
      </w:tcPr>
    </w:tblStylePr>
    <w:tblStylePr w:type="band1Horz">
      <w:tblPr/>
      <w:tcPr>
        <w:shd w:val="clear" w:color="auto" w:fill="DCDCDC" w:themeFill="accent2" w:themeFillTint="66"/>
      </w:tcPr>
    </w:tblStylePr>
  </w:style>
  <w:style w:type="table" w:styleId="Gitternetztabelle5dunkelAkzent3">
    <w:name w:val="Grid Table 5 Dark Accent 3"/>
    <w:basedOn w:val="NormaleTabelle"/>
    <w:uiPriority w:val="50"/>
    <w:rsid w:val="001835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F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39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39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39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39D" w:themeFill="accent3"/>
      </w:tcPr>
    </w:tblStylePr>
    <w:tblStylePr w:type="band1Vert">
      <w:tblPr/>
      <w:tcPr>
        <w:shd w:val="clear" w:color="auto" w:fill="C7E0D7" w:themeFill="accent3" w:themeFillTint="66"/>
      </w:tcPr>
    </w:tblStylePr>
    <w:tblStylePr w:type="band1Horz">
      <w:tblPr/>
      <w:tcPr>
        <w:shd w:val="clear" w:color="auto" w:fill="C7E0D7" w:themeFill="accent3" w:themeFillTint="66"/>
      </w:tcPr>
    </w:tblStylePr>
  </w:style>
  <w:style w:type="table" w:styleId="Gitternetztabelle5dunkelAkzent4">
    <w:name w:val="Grid Table 5 Dark Accent 4"/>
    <w:basedOn w:val="NormaleTabelle"/>
    <w:uiPriority w:val="50"/>
    <w:rsid w:val="001835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C5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1B2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1B2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1B2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1B2D" w:themeFill="accent4"/>
      </w:tcPr>
    </w:tblStylePr>
    <w:tblStylePr w:type="band1Vert">
      <w:tblPr/>
      <w:tcPr>
        <w:shd w:val="clear" w:color="auto" w:fill="E88B9A" w:themeFill="accent4" w:themeFillTint="66"/>
      </w:tcPr>
    </w:tblStylePr>
    <w:tblStylePr w:type="band1Horz">
      <w:tblPr/>
      <w:tcPr>
        <w:shd w:val="clear" w:color="auto" w:fill="E88B9A" w:themeFill="accent4" w:themeFillTint="66"/>
      </w:tcPr>
    </w:tblStylePr>
  </w:style>
  <w:style w:type="table" w:styleId="Gitternetztabelle5dunkelAkzent5">
    <w:name w:val="Grid Table 5 Dark Accent 5"/>
    <w:basedOn w:val="NormaleTabelle"/>
    <w:uiPriority w:val="50"/>
    <w:rsid w:val="001835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A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622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622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622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6224" w:themeFill="accent5"/>
      </w:tcPr>
    </w:tblStylePr>
    <w:tblStylePr w:type="band1Vert">
      <w:tblPr/>
      <w:tcPr>
        <w:shd w:val="clear" w:color="auto" w:fill="CFD690" w:themeFill="accent5" w:themeFillTint="66"/>
      </w:tcPr>
    </w:tblStylePr>
    <w:tblStylePr w:type="band1Horz">
      <w:tblPr/>
      <w:tcPr>
        <w:shd w:val="clear" w:color="auto" w:fill="CFD690" w:themeFill="accent5" w:themeFillTint="66"/>
      </w:tcPr>
    </w:tblStylePr>
  </w:style>
  <w:style w:type="table" w:styleId="Gitternetztabelle5dunkelAkzent6">
    <w:name w:val="Grid Table 5 Dark Accent 6"/>
    <w:basedOn w:val="NormaleTabelle"/>
    <w:uiPriority w:val="50"/>
    <w:rsid w:val="001835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4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6F5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6F5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6F5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6F55" w:themeFill="accent6"/>
      </w:tcPr>
    </w:tblStylePr>
    <w:tblStylePr w:type="band1Vert">
      <w:tblPr/>
      <w:tcPr>
        <w:shd w:val="clear" w:color="auto" w:fill="7DE8CA" w:themeFill="accent6" w:themeFillTint="66"/>
      </w:tcPr>
    </w:tblStylePr>
    <w:tblStylePr w:type="band1Horz">
      <w:tblPr/>
      <w:tcPr>
        <w:shd w:val="clear" w:color="auto" w:fill="7DE8CA" w:themeFill="accent6" w:themeFillTint="66"/>
      </w:tcPr>
    </w:tblStylePr>
  </w:style>
  <w:style w:type="table" w:styleId="Gitternetztabelle6farbig">
    <w:name w:val="Grid Table 6 Colorful"/>
    <w:basedOn w:val="NormaleTabelle"/>
    <w:uiPriority w:val="51"/>
    <w:rsid w:val="001835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1835F7"/>
    <w:rPr>
      <w:color w:val="3395AD" w:themeColor="accent1" w:themeShade="BF"/>
    </w:rPr>
    <w:tblPr>
      <w:tblStyleRowBandSize w:val="1"/>
      <w:tblStyleColBandSize w:val="1"/>
      <w:tblBorders>
        <w:top w:val="single" w:sz="4" w:space="0" w:color="9ED4E2" w:themeColor="accent1" w:themeTint="99"/>
        <w:left w:val="single" w:sz="4" w:space="0" w:color="9ED4E2" w:themeColor="accent1" w:themeTint="99"/>
        <w:bottom w:val="single" w:sz="4" w:space="0" w:color="9ED4E2" w:themeColor="accent1" w:themeTint="99"/>
        <w:right w:val="single" w:sz="4" w:space="0" w:color="9ED4E2" w:themeColor="accent1" w:themeTint="99"/>
        <w:insideH w:val="single" w:sz="4" w:space="0" w:color="9ED4E2" w:themeColor="accent1" w:themeTint="99"/>
        <w:insideV w:val="single" w:sz="4" w:space="0" w:color="9ED4E2" w:themeColor="accent1" w:themeTint="99"/>
      </w:tblBorders>
    </w:tblPr>
    <w:tblStylePr w:type="firstRow">
      <w:rPr>
        <w:b/>
        <w:bCs/>
      </w:rPr>
      <w:tblPr/>
      <w:tcPr>
        <w:tcBorders>
          <w:bottom w:val="single" w:sz="12" w:space="0" w:color="9ED4E2" w:themeColor="accent1" w:themeTint="99"/>
        </w:tcBorders>
      </w:tcPr>
    </w:tblStylePr>
    <w:tblStylePr w:type="lastRow">
      <w:rPr>
        <w:b/>
        <w:bCs/>
      </w:rPr>
      <w:tblPr/>
      <w:tcPr>
        <w:tcBorders>
          <w:top w:val="double" w:sz="4" w:space="0" w:color="9ED4E2" w:themeColor="accent1" w:themeTint="99"/>
        </w:tcBorders>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Gitternetztabelle6farbigAkzent2">
    <w:name w:val="Grid Table 6 Colorful Accent 2"/>
    <w:basedOn w:val="NormaleTabelle"/>
    <w:uiPriority w:val="51"/>
    <w:rsid w:val="001835F7"/>
    <w:rPr>
      <w:color w:val="7D7D7D" w:themeColor="accent2" w:themeShade="BF"/>
    </w:rPr>
    <w:tblPr>
      <w:tblStyleRowBandSize w:val="1"/>
      <w:tblStyleColBandSize w:val="1"/>
      <w:tblBorders>
        <w:top w:val="single" w:sz="4" w:space="0" w:color="CACACA" w:themeColor="accent2" w:themeTint="99"/>
        <w:left w:val="single" w:sz="4" w:space="0" w:color="CACACA" w:themeColor="accent2" w:themeTint="99"/>
        <w:bottom w:val="single" w:sz="4" w:space="0" w:color="CACACA" w:themeColor="accent2" w:themeTint="99"/>
        <w:right w:val="single" w:sz="4" w:space="0" w:color="CACACA" w:themeColor="accent2" w:themeTint="99"/>
        <w:insideH w:val="single" w:sz="4" w:space="0" w:color="CACACA" w:themeColor="accent2" w:themeTint="99"/>
        <w:insideV w:val="single" w:sz="4" w:space="0" w:color="CACACA" w:themeColor="accent2" w:themeTint="99"/>
      </w:tblBorders>
    </w:tblPr>
    <w:tblStylePr w:type="firstRow">
      <w:rPr>
        <w:b/>
        <w:bCs/>
      </w:rPr>
      <w:tblPr/>
      <w:tcPr>
        <w:tcBorders>
          <w:bottom w:val="single" w:sz="12" w:space="0" w:color="CACACA" w:themeColor="accent2" w:themeTint="99"/>
        </w:tcBorders>
      </w:tcPr>
    </w:tblStylePr>
    <w:tblStylePr w:type="lastRow">
      <w:rPr>
        <w:b/>
        <w:bCs/>
      </w:rPr>
      <w:tblPr/>
      <w:tcPr>
        <w:tcBorders>
          <w:top w:val="double" w:sz="4" w:space="0" w:color="CACACA" w:themeColor="accent2" w:themeTint="99"/>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Gitternetztabelle6farbigAkzent3">
    <w:name w:val="Grid Table 6 Colorful Accent 3"/>
    <w:basedOn w:val="NormaleTabelle"/>
    <w:uiPriority w:val="51"/>
    <w:rsid w:val="001835F7"/>
    <w:rPr>
      <w:color w:val="4E8E77" w:themeColor="accent3" w:themeShade="BF"/>
    </w:rPr>
    <w:tblPr>
      <w:tblStyleRowBandSize w:val="1"/>
      <w:tblStyleColBandSize w:val="1"/>
      <w:tblBorders>
        <w:top w:val="single" w:sz="4" w:space="0" w:color="ACD1C4" w:themeColor="accent3" w:themeTint="99"/>
        <w:left w:val="single" w:sz="4" w:space="0" w:color="ACD1C4" w:themeColor="accent3" w:themeTint="99"/>
        <w:bottom w:val="single" w:sz="4" w:space="0" w:color="ACD1C4" w:themeColor="accent3" w:themeTint="99"/>
        <w:right w:val="single" w:sz="4" w:space="0" w:color="ACD1C4" w:themeColor="accent3" w:themeTint="99"/>
        <w:insideH w:val="single" w:sz="4" w:space="0" w:color="ACD1C4" w:themeColor="accent3" w:themeTint="99"/>
        <w:insideV w:val="single" w:sz="4" w:space="0" w:color="ACD1C4" w:themeColor="accent3" w:themeTint="99"/>
      </w:tblBorders>
    </w:tblPr>
    <w:tblStylePr w:type="firstRow">
      <w:rPr>
        <w:b/>
        <w:bCs/>
      </w:rPr>
      <w:tblPr/>
      <w:tcPr>
        <w:tcBorders>
          <w:bottom w:val="single" w:sz="12" w:space="0" w:color="ACD1C4" w:themeColor="accent3" w:themeTint="99"/>
        </w:tcBorders>
      </w:tcPr>
    </w:tblStylePr>
    <w:tblStylePr w:type="lastRow">
      <w:rPr>
        <w:b/>
        <w:bCs/>
      </w:rPr>
      <w:tblPr/>
      <w:tcPr>
        <w:tcBorders>
          <w:top w:val="double" w:sz="4" w:space="0" w:color="ACD1C4" w:themeColor="accent3" w:themeTint="99"/>
        </w:tcBorders>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Gitternetztabelle6farbigAkzent4">
    <w:name w:val="Grid Table 6 Colorful Accent 4"/>
    <w:basedOn w:val="NormaleTabelle"/>
    <w:uiPriority w:val="51"/>
    <w:rsid w:val="001835F7"/>
    <w:rPr>
      <w:color w:val="661421" w:themeColor="accent4" w:themeShade="BF"/>
    </w:rPr>
    <w:tblPr>
      <w:tblStyleRowBandSize w:val="1"/>
      <w:tblStyleColBandSize w:val="1"/>
      <w:tblBorders>
        <w:top w:val="single" w:sz="4" w:space="0" w:color="DC5167" w:themeColor="accent4" w:themeTint="99"/>
        <w:left w:val="single" w:sz="4" w:space="0" w:color="DC5167" w:themeColor="accent4" w:themeTint="99"/>
        <w:bottom w:val="single" w:sz="4" w:space="0" w:color="DC5167" w:themeColor="accent4" w:themeTint="99"/>
        <w:right w:val="single" w:sz="4" w:space="0" w:color="DC5167" w:themeColor="accent4" w:themeTint="99"/>
        <w:insideH w:val="single" w:sz="4" w:space="0" w:color="DC5167" w:themeColor="accent4" w:themeTint="99"/>
        <w:insideV w:val="single" w:sz="4" w:space="0" w:color="DC5167" w:themeColor="accent4" w:themeTint="99"/>
      </w:tblBorders>
    </w:tblPr>
    <w:tblStylePr w:type="firstRow">
      <w:rPr>
        <w:b/>
        <w:bCs/>
      </w:rPr>
      <w:tblPr/>
      <w:tcPr>
        <w:tcBorders>
          <w:bottom w:val="single" w:sz="12" w:space="0" w:color="DC5167" w:themeColor="accent4" w:themeTint="99"/>
        </w:tcBorders>
      </w:tcPr>
    </w:tblStylePr>
    <w:tblStylePr w:type="lastRow">
      <w:rPr>
        <w:b/>
        <w:bCs/>
      </w:rPr>
      <w:tblPr/>
      <w:tcPr>
        <w:tcBorders>
          <w:top w:val="double" w:sz="4" w:space="0" w:color="DC5167" w:themeColor="accent4" w:themeTint="99"/>
        </w:tcBorders>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Gitternetztabelle6farbigAkzent5">
    <w:name w:val="Grid Table 6 Colorful Accent 5"/>
    <w:basedOn w:val="NormaleTabelle"/>
    <w:uiPriority w:val="51"/>
    <w:rsid w:val="001835F7"/>
    <w:rPr>
      <w:color w:val="44491B" w:themeColor="accent5" w:themeShade="BF"/>
    </w:rPr>
    <w:tblPr>
      <w:tblStyleRowBandSize w:val="1"/>
      <w:tblStyleColBandSize w:val="1"/>
      <w:tblBorders>
        <w:top w:val="single" w:sz="4" w:space="0" w:color="B8C25A" w:themeColor="accent5" w:themeTint="99"/>
        <w:left w:val="single" w:sz="4" w:space="0" w:color="B8C25A" w:themeColor="accent5" w:themeTint="99"/>
        <w:bottom w:val="single" w:sz="4" w:space="0" w:color="B8C25A" w:themeColor="accent5" w:themeTint="99"/>
        <w:right w:val="single" w:sz="4" w:space="0" w:color="B8C25A" w:themeColor="accent5" w:themeTint="99"/>
        <w:insideH w:val="single" w:sz="4" w:space="0" w:color="B8C25A" w:themeColor="accent5" w:themeTint="99"/>
        <w:insideV w:val="single" w:sz="4" w:space="0" w:color="B8C25A" w:themeColor="accent5" w:themeTint="99"/>
      </w:tblBorders>
    </w:tblPr>
    <w:tblStylePr w:type="firstRow">
      <w:rPr>
        <w:b/>
        <w:bCs/>
      </w:rPr>
      <w:tblPr/>
      <w:tcPr>
        <w:tcBorders>
          <w:bottom w:val="single" w:sz="12" w:space="0" w:color="B8C25A" w:themeColor="accent5" w:themeTint="99"/>
        </w:tcBorders>
      </w:tcPr>
    </w:tblStylePr>
    <w:tblStylePr w:type="lastRow">
      <w:rPr>
        <w:b/>
        <w:bCs/>
      </w:rPr>
      <w:tblPr/>
      <w:tcPr>
        <w:tcBorders>
          <w:top w:val="double" w:sz="4" w:space="0" w:color="B8C25A" w:themeColor="accent5" w:themeTint="99"/>
        </w:tcBorders>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Gitternetztabelle6farbigAkzent6">
    <w:name w:val="Grid Table 6 Colorful Accent 6"/>
    <w:basedOn w:val="NormaleTabelle"/>
    <w:uiPriority w:val="51"/>
    <w:rsid w:val="001835F7"/>
    <w:rPr>
      <w:color w:val="0E533F" w:themeColor="accent6" w:themeShade="BF"/>
    </w:rPr>
    <w:tblPr>
      <w:tblStyleRowBandSize w:val="1"/>
      <w:tblStyleColBandSize w:val="1"/>
      <w:tblBorders>
        <w:top w:val="single" w:sz="4" w:space="0" w:color="3CDDAF" w:themeColor="accent6" w:themeTint="99"/>
        <w:left w:val="single" w:sz="4" w:space="0" w:color="3CDDAF" w:themeColor="accent6" w:themeTint="99"/>
        <w:bottom w:val="single" w:sz="4" w:space="0" w:color="3CDDAF" w:themeColor="accent6" w:themeTint="99"/>
        <w:right w:val="single" w:sz="4" w:space="0" w:color="3CDDAF" w:themeColor="accent6" w:themeTint="99"/>
        <w:insideH w:val="single" w:sz="4" w:space="0" w:color="3CDDAF" w:themeColor="accent6" w:themeTint="99"/>
        <w:insideV w:val="single" w:sz="4" w:space="0" w:color="3CDDAF" w:themeColor="accent6" w:themeTint="99"/>
      </w:tblBorders>
    </w:tblPr>
    <w:tblStylePr w:type="firstRow">
      <w:rPr>
        <w:b/>
        <w:bCs/>
      </w:rPr>
      <w:tblPr/>
      <w:tcPr>
        <w:tcBorders>
          <w:bottom w:val="single" w:sz="12" w:space="0" w:color="3CDDAF" w:themeColor="accent6" w:themeTint="99"/>
        </w:tcBorders>
      </w:tcPr>
    </w:tblStylePr>
    <w:tblStylePr w:type="lastRow">
      <w:rPr>
        <w:b/>
        <w:bCs/>
      </w:rPr>
      <w:tblPr/>
      <w:tcPr>
        <w:tcBorders>
          <w:top w:val="double" w:sz="4" w:space="0" w:color="3CDDAF" w:themeColor="accent6" w:themeTint="99"/>
        </w:tcBorders>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Gitternetztabelle7farbig">
    <w:name w:val="Grid Table 7 Colorful"/>
    <w:basedOn w:val="NormaleTabelle"/>
    <w:uiPriority w:val="52"/>
    <w:rsid w:val="001835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1835F7"/>
    <w:rPr>
      <w:color w:val="3395AD" w:themeColor="accent1" w:themeShade="BF"/>
    </w:rPr>
    <w:tblPr>
      <w:tblStyleRowBandSize w:val="1"/>
      <w:tblStyleColBandSize w:val="1"/>
      <w:tblBorders>
        <w:top w:val="single" w:sz="4" w:space="0" w:color="9ED4E2" w:themeColor="accent1" w:themeTint="99"/>
        <w:left w:val="single" w:sz="4" w:space="0" w:color="9ED4E2" w:themeColor="accent1" w:themeTint="99"/>
        <w:bottom w:val="single" w:sz="4" w:space="0" w:color="9ED4E2" w:themeColor="accent1" w:themeTint="99"/>
        <w:right w:val="single" w:sz="4" w:space="0" w:color="9ED4E2" w:themeColor="accent1" w:themeTint="99"/>
        <w:insideH w:val="single" w:sz="4" w:space="0" w:color="9ED4E2" w:themeColor="accent1" w:themeTint="99"/>
        <w:insideV w:val="single" w:sz="4" w:space="0" w:color="9ED4E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5" w:themeFill="accent1" w:themeFillTint="33"/>
      </w:tcPr>
    </w:tblStylePr>
    <w:tblStylePr w:type="band1Horz">
      <w:tblPr/>
      <w:tcPr>
        <w:shd w:val="clear" w:color="auto" w:fill="DEF0F5" w:themeFill="accent1" w:themeFillTint="33"/>
      </w:tcPr>
    </w:tblStylePr>
    <w:tblStylePr w:type="neCell">
      <w:tblPr/>
      <w:tcPr>
        <w:tcBorders>
          <w:bottom w:val="single" w:sz="4" w:space="0" w:color="9ED4E2" w:themeColor="accent1" w:themeTint="99"/>
        </w:tcBorders>
      </w:tcPr>
    </w:tblStylePr>
    <w:tblStylePr w:type="nwCell">
      <w:tblPr/>
      <w:tcPr>
        <w:tcBorders>
          <w:bottom w:val="single" w:sz="4" w:space="0" w:color="9ED4E2" w:themeColor="accent1" w:themeTint="99"/>
        </w:tcBorders>
      </w:tcPr>
    </w:tblStylePr>
    <w:tblStylePr w:type="seCell">
      <w:tblPr/>
      <w:tcPr>
        <w:tcBorders>
          <w:top w:val="single" w:sz="4" w:space="0" w:color="9ED4E2" w:themeColor="accent1" w:themeTint="99"/>
        </w:tcBorders>
      </w:tcPr>
    </w:tblStylePr>
    <w:tblStylePr w:type="swCell">
      <w:tblPr/>
      <w:tcPr>
        <w:tcBorders>
          <w:top w:val="single" w:sz="4" w:space="0" w:color="9ED4E2" w:themeColor="accent1" w:themeTint="99"/>
        </w:tcBorders>
      </w:tcPr>
    </w:tblStylePr>
  </w:style>
  <w:style w:type="table" w:styleId="Gitternetztabelle7farbigAkzent2">
    <w:name w:val="Grid Table 7 Colorful Accent 2"/>
    <w:basedOn w:val="NormaleTabelle"/>
    <w:uiPriority w:val="52"/>
    <w:rsid w:val="001835F7"/>
    <w:rPr>
      <w:color w:val="7D7D7D" w:themeColor="accent2" w:themeShade="BF"/>
    </w:rPr>
    <w:tblPr>
      <w:tblStyleRowBandSize w:val="1"/>
      <w:tblStyleColBandSize w:val="1"/>
      <w:tblBorders>
        <w:top w:val="single" w:sz="4" w:space="0" w:color="CACACA" w:themeColor="accent2" w:themeTint="99"/>
        <w:left w:val="single" w:sz="4" w:space="0" w:color="CACACA" w:themeColor="accent2" w:themeTint="99"/>
        <w:bottom w:val="single" w:sz="4" w:space="0" w:color="CACACA" w:themeColor="accent2" w:themeTint="99"/>
        <w:right w:val="single" w:sz="4" w:space="0" w:color="CACACA" w:themeColor="accent2" w:themeTint="99"/>
        <w:insideH w:val="single" w:sz="4" w:space="0" w:color="CACACA" w:themeColor="accent2" w:themeTint="99"/>
        <w:insideV w:val="single" w:sz="4" w:space="0" w:color="CACAC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2" w:themeFillTint="33"/>
      </w:tcPr>
    </w:tblStylePr>
    <w:tblStylePr w:type="band1Horz">
      <w:tblPr/>
      <w:tcPr>
        <w:shd w:val="clear" w:color="auto" w:fill="EDEDED" w:themeFill="accent2" w:themeFillTint="33"/>
      </w:tcPr>
    </w:tblStylePr>
    <w:tblStylePr w:type="neCell">
      <w:tblPr/>
      <w:tcPr>
        <w:tcBorders>
          <w:bottom w:val="single" w:sz="4" w:space="0" w:color="CACACA" w:themeColor="accent2" w:themeTint="99"/>
        </w:tcBorders>
      </w:tcPr>
    </w:tblStylePr>
    <w:tblStylePr w:type="nwCell">
      <w:tblPr/>
      <w:tcPr>
        <w:tcBorders>
          <w:bottom w:val="single" w:sz="4" w:space="0" w:color="CACACA" w:themeColor="accent2" w:themeTint="99"/>
        </w:tcBorders>
      </w:tcPr>
    </w:tblStylePr>
    <w:tblStylePr w:type="seCell">
      <w:tblPr/>
      <w:tcPr>
        <w:tcBorders>
          <w:top w:val="single" w:sz="4" w:space="0" w:color="CACACA" w:themeColor="accent2" w:themeTint="99"/>
        </w:tcBorders>
      </w:tcPr>
    </w:tblStylePr>
    <w:tblStylePr w:type="swCell">
      <w:tblPr/>
      <w:tcPr>
        <w:tcBorders>
          <w:top w:val="single" w:sz="4" w:space="0" w:color="CACACA" w:themeColor="accent2" w:themeTint="99"/>
        </w:tcBorders>
      </w:tcPr>
    </w:tblStylePr>
  </w:style>
  <w:style w:type="table" w:styleId="Gitternetztabelle7farbigAkzent3">
    <w:name w:val="Grid Table 7 Colorful Accent 3"/>
    <w:basedOn w:val="NormaleTabelle"/>
    <w:uiPriority w:val="52"/>
    <w:rsid w:val="001835F7"/>
    <w:rPr>
      <w:color w:val="4E8E77" w:themeColor="accent3" w:themeShade="BF"/>
    </w:rPr>
    <w:tblPr>
      <w:tblStyleRowBandSize w:val="1"/>
      <w:tblStyleColBandSize w:val="1"/>
      <w:tblBorders>
        <w:top w:val="single" w:sz="4" w:space="0" w:color="ACD1C4" w:themeColor="accent3" w:themeTint="99"/>
        <w:left w:val="single" w:sz="4" w:space="0" w:color="ACD1C4" w:themeColor="accent3" w:themeTint="99"/>
        <w:bottom w:val="single" w:sz="4" w:space="0" w:color="ACD1C4" w:themeColor="accent3" w:themeTint="99"/>
        <w:right w:val="single" w:sz="4" w:space="0" w:color="ACD1C4" w:themeColor="accent3" w:themeTint="99"/>
        <w:insideH w:val="single" w:sz="4" w:space="0" w:color="ACD1C4" w:themeColor="accent3" w:themeTint="99"/>
        <w:insideV w:val="single" w:sz="4" w:space="0" w:color="ACD1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FEB" w:themeFill="accent3" w:themeFillTint="33"/>
      </w:tcPr>
    </w:tblStylePr>
    <w:tblStylePr w:type="band1Horz">
      <w:tblPr/>
      <w:tcPr>
        <w:shd w:val="clear" w:color="auto" w:fill="E3EFEB" w:themeFill="accent3" w:themeFillTint="33"/>
      </w:tcPr>
    </w:tblStylePr>
    <w:tblStylePr w:type="neCell">
      <w:tblPr/>
      <w:tcPr>
        <w:tcBorders>
          <w:bottom w:val="single" w:sz="4" w:space="0" w:color="ACD1C4" w:themeColor="accent3" w:themeTint="99"/>
        </w:tcBorders>
      </w:tcPr>
    </w:tblStylePr>
    <w:tblStylePr w:type="nwCell">
      <w:tblPr/>
      <w:tcPr>
        <w:tcBorders>
          <w:bottom w:val="single" w:sz="4" w:space="0" w:color="ACD1C4" w:themeColor="accent3" w:themeTint="99"/>
        </w:tcBorders>
      </w:tcPr>
    </w:tblStylePr>
    <w:tblStylePr w:type="seCell">
      <w:tblPr/>
      <w:tcPr>
        <w:tcBorders>
          <w:top w:val="single" w:sz="4" w:space="0" w:color="ACD1C4" w:themeColor="accent3" w:themeTint="99"/>
        </w:tcBorders>
      </w:tcPr>
    </w:tblStylePr>
    <w:tblStylePr w:type="swCell">
      <w:tblPr/>
      <w:tcPr>
        <w:tcBorders>
          <w:top w:val="single" w:sz="4" w:space="0" w:color="ACD1C4" w:themeColor="accent3" w:themeTint="99"/>
        </w:tcBorders>
      </w:tcPr>
    </w:tblStylePr>
  </w:style>
  <w:style w:type="table" w:styleId="Gitternetztabelle7farbigAkzent4">
    <w:name w:val="Grid Table 7 Colorful Accent 4"/>
    <w:basedOn w:val="NormaleTabelle"/>
    <w:uiPriority w:val="52"/>
    <w:rsid w:val="001835F7"/>
    <w:rPr>
      <w:color w:val="661421" w:themeColor="accent4" w:themeShade="BF"/>
    </w:rPr>
    <w:tblPr>
      <w:tblStyleRowBandSize w:val="1"/>
      <w:tblStyleColBandSize w:val="1"/>
      <w:tblBorders>
        <w:top w:val="single" w:sz="4" w:space="0" w:color="DC5167" w:themeColor="accent4" w:themeTint="99"/>
        <w:left w:val="single" w:sz="4" w:space="0" w:color="DC5167" w:themeColor="accent4" w:themeTint="99"/>
        <w:bottom w:val="single" w:sz="4" w:space="0" w:color="DC5167" w:themeColor="accent4" w:themeTint="99"/>
        <w:right w:val="single" w:sz="4" w:space="0" w:color="DC5167" w:themeColor="accent4" w:themeTint="99"/>
        <w:insideH w:val="single" w:sz="4" w:space="0" w:color="DC5167" w:themeColor="accent4" w:themeTint="99"/>
        <w:insideV w:val="single" w:sz="4" w:space="0" w:color="DC516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5CC" w:themeFill="accent4" w:themeFillTint="33"/>
      </w:tcPr>
    </w:tblStylePr>
    <w:tblStylePr w:type="band1Horz">
      <w:tblPr/>
      <w:tcPr>
        <w:shd w:val="clear" w:color="auto" w:fill="F3C5CC" w:themeFill="accent4" w:themeFillTint="33"/>
      </w:tcPr>
    </w:tblStylePr>
    <w:tblStylePr w:type="neCell">
      <w:tblPr/>
      <w:tcPr>
        <w:tcBorders>
          <w:bottom w:val="single" w:sz="4" w:space="0" w:color="DC5167" w:themeColor="accent4" w:themeTint="99"/>
        </w:tcBorders>
      </w:tcPr>
    </w:tblStylePr>
    <w:tblStylePr w:type="nwCell">
      <w:tblPr/>
      <w:tcPr>
        <w:tcBorders>
          <w:bottom w:val="single" w:sz="4" w:space="0" w:color="DC5167" w:themeColor="accent4" w:themeTint="99"/>
        </w:tcBorders>
      </w:tcPr>
    </w:tblStylePr>
    <w:tblStylePr w:type="seCell">
      <w:tblPr/>
      <w:tcPr>
        <w:tcBorders>
          <w:top w:val="single" w:sz="4" w:space="0" w:color="DC5167" w:themeColor="accent4" w:themeTint="99"/>
        </w:tcBorders>
      </w:tcPr>
    </w:tblStylePr>
    <w:tblStylePr w:type="swCell">
      <w:tblPr/>
      <w:tcPr>
        <w:tcBorders>
          <w:top w:val="single" w:sz="4" w:space="0" w:color="DC5167" w:themeColor="accent4" w:themeTint="99"/>
        </w:tcBorders>
      </w:tcPr>
    </w:tblStylePr>
  </w:style>
  <w:style w:type="table" w:styleId="Gitternetztabelle7farbigAkzent5">
    <w:name w:val="Grid Table 7 Colorful Accent 5"/>
    <w:basedOn w:val="NormaleTabelle"/>
    <w:uiPriority w:val="52"/>
    <w:rsid w:val="001835F7"/>
    <w:rPr>
      <w:color w:val="44491B" w:themeColor="accent5" w:themeShade="BF"/>
    </w:rPr>
    <w:tblPr>
      <w:tblStyleRowBandSize w:val="1"/>
      <w:tblStyleColBandSize w:val="1"/>
      <w:tblBorders>
        <w:top w:val="single" w:sz="4" w:space="0" w:color="B8C25A" w:themeColor="accent5" w:themeTint="99"/>
        <w:left w:val="single" w:sz="4" w:space="0" w:color="B8C25A" w:themeColor="accent5" w:themeTint="99"/>
        <w:bottom w:val="single" w:sz="4" w:space="0" w:color="B8C25A" w:themeColor="accent5" w:themeTint="99"/>
        <w:right w:val="single" w:sz="4" w:space="0" w:color="B8C25A" w:themeColor="accent5" w:themeTint="99"/>
        <w:insideH w:val="single" w:sz="4" w:space="0" w:color="B8C25A" w:themeColor="accent5" w:themeTint="99"/>
        <w:insideV w:val="single" w:sz="4" w:space="0" w:color="B8C25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AC7" w:themeFill="accent5" w:themeFillTint="33"/>
      </w:tcPr>
    </w:tblStylePr>
    <w:tblStylePr w:type="band1Horz">
      <w:tblPr/>
      <w:tcPr>
        <w:shd w:val="clear" w:color="auto" w:fill="E7EAC7" w:themeFill="accent5" w:themeFillTint="33"/>
      </w:tcPr>
    </w:tblStylePr>
    <w:tblStylePr w:type="neCell">
      <w:tblPr/>
      <w:tcPr>
        <w:tcBorders>
          <w:bottom w:val="single" w:sz="4" w:space="0" w:color="B8C25A" w:themeColor="accent5" w:themeTint="99"/>
        </w:tcBorders>
      </w:tcPr>
    </w:tblStylePr>
    <w:tblStylePr w:type="nwCell">
      <w:tblPr/>
      <w:tcPr>
        <w:tcBorders>
          <w:bottom w:val="single" w:sz="4" w:space="0" w:color="B8C25A" w:themeColor="accent5" w:themeTint="99"/>
        </w:tcBorders>
      </w:tcPr>
    </w:tblStylePr>
    <w:tblStylePr w:type="seCell">
      <w:tblPr/>
      <w:tcPr>
        <w:tcBorders>
          <w:top w:val="single" w:sz="4" w:space="0" w:color="B8C25A" w:themeColor="accent5" w:themeTint="99"/>
        </w:tcBorders>
      </w:tcPr>
    </w:tblStylePr>
    <w:tblStylePr w:type="swCell">
      <w:tblPr/>
      <w:tcPr>
        <w:tcBorders>
          <w:top w:val="single" w:sz="4" w:space="0" w:color="B8C25A" w:themeColor="accent5" w:themeTint="99"/>
        </w:tcBorders>
      </w:tcPr>
    </w:tblStylePr>
  </w:style>
  <w:style w:type="table" w:styleId="Gitternetztabelle7farbigAkzent6">
    <w:name w:val="Grid Table 7 Colorful Accent 6"/>
    <w:basedOn w:val="NormaleTabelle"/>
    <w:uiPriority w:val="52"/>
    <w:rsid w:val="001835F7"/>
    <w:rPr>
      <w:color w:val="0E533F" w:themeColor="accent6" w:themeShade="BF"/>
    </w:rPr>
    <w:tblPr>
      <w:tblStyleRowBandSize w:val="1"/>
      <w:tblStyleColBandSize w:val="1"/>
      <w:tblBorders>
        <w:top w:val="single" w:sz="4" w:space="0" w:color="3CDDAF" w:themeColor="accent6" w:themeTint="99"/>
        <w:left w:val="single" w:sz="4" w:space="0" w:color="3CDDAF" w:themeColor="accent6" w:themeTint="99"/>
        <w:bottom w:val="single" w:sz="4" w:space="0" w:color="3CDDAF" w:themeColor="accent6" w:themeTint="99"/>
        <w:right w:val="single" w:sz="4" w:space="0" w:color="3CDDAF" w:themeColor="accent6" w:themeTint="99"/>
        <w:insideH w:val="single" w:sz="4" w:space="0" w:color="3CDDAF" w:themeColor="accent6" w:themeTint="99"/>
        <w:insideV w:val="single" w:sz="4" w:space="0" w:color="3CDDA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4E4" w:themeFill="accent6" w:themeFillTint="33"/>
      </w:tcPr>
    </w:tblStylePr>
    <w:tblStylePr w:type="band1Horz">
      <w:tblPr/>
      <w:tcPr>
        <w:shd w:val="clear" w:color="auto" w:fill="BEF4E4" w:themeFill="accent6" w:themeFillTint="33"/>
      </w:tcPr>
    </w:tblStylePr>
    <w:tblStylePr w:type="neCell">
      <w:tblPr/>
      <w:tcPr>
        <w:tcBorders>
          <w:bottom w:val="single" w:sz="4" w:space="0" w:color="3CDDAF" w:themeColor="accent6" w:themeTint="99"/>
        </w:tcBorders>
      </w:tcPr>
    </w:tblStylePr>
    <w:tblStylePr w:type="nwCell">
      <w:tblPr/>
      <w:tcPr>
        <w:tcBorders>
          <w:bottom w:val="single" w:sz="4" w:space="0" w:color="3CDDAF" w:themeColor="accent6" w:themeTint="99"/>
        </w:tcBorders>
      </w:tcPr>
    </w:tblStylePr>
    <w:tblStylePr w:type="seCell">
      <w:tblPr/>
      <w:tcPr>
        <w:tcBorders>
          <w:top w:val="single" w:sz="4" w:space="0" w:color="3CDDAF" w:themeColor="accent6" w:themeTint="99"/>
        </w:tcBorders>
      </w:tcPr>
    </w:tblStylePr>
    <w:tblStylePr w:type="swCell">
      <w:tblPr/>
      <w:tcPr>
        <w:tcBorders>
          <w:top w:val="single" w:sz="4" w:space="0" w:color="3CDDAF" w:themeColor="accent6" w:themeTint="99"/>
        </w:tcBorders>
      </w:tcPr>
    </w:tblStylePr>
  </w:style>
  <w:style w:type="character" w:styleId="IntensiveHervorhebung">
    <w:name w:val="Intense Emphasis"/>
    <w:basedOn w:val="Absatz-Standardschriftart"/>
    <w:uiPriority w:val="99"/>
    <w:semiHidden/>
    <w:qFormat/>
    <w:rsid w:val="001835F7"/>
    <w:rPr>
      <w:i/>
      <w:iCs/>
      <w:color w:val="5EB9CF" w:themeColor="accent1"/>
      <w:lang w:val="de-DE"/>
    </w:rPr>
  </w:style>
  <w:style w:type="character" w:styleId="IntensiverVerweis">
    <w:name w:val="Intense Reference"/>
    <w:basedOn w:val="Absatz-Standardschriftart"/>
    <w:uiPriority w:val="99"/>
    <w:semiHidden/>
    <w:qFormat/>
    <w:rsid w:val="001835F7"/>
    <w:rPr>
      <w:b/>
      <w:bCs/>
      <w:smallCaps/>
      <w:color w:val="5EB9CF" w:themeColor="accent1"/>
      <w:spacing w:val="5"/>
      <w:lang w:val="de-DE"/>
    </w:rPr>
  </w:style>
  <w:style w:type="table" w:styleId="HellesRaster">
    <w:name w:val="Light Grid"/>
    <w:basedOn w:val="NormaleTabelle"/>
    <w:uiPriority w:val="62"/>
    <w:semiHidden/>
    <w:unhideWhenUsed/>
    <w:rsid w:val="001835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1835F7"/>
    <w:tblPr>
      <w:tblStyleRowBandSize w:val="1"/>
      <w:tblStyleColBandSize w:val="1"/>
      <w:tblBorders>
        <w:top w:val="single" w:sz="8" w:space="0" w:color="5EB9CF" w:themeColor="accent1"/>
        <w:left w:val="single" w:sz="8" w:space="0" w:color="5EB9CF" w:themeColor="accent1"/>
        <w:bottom w:val="single" w:sz="8" w:space="0" w:color="5EB9CF" w:themeColor="accent1"/>
        <w:right w:val="single" w:sz="8" w:space="0" w:color="5EB9CF" w:themeColor="accent1"/>
        <w:insideH w:val="single" w:sz="8" w:space="0" w:color="5EB9CF" w:themeColor="accent1"/>
        <w:insideV w:val="single" w:sz="8" w:space="0" w:color="5EB9C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EB9CF" w:themeColor="accent1"/>
          <w:left w:val="single" w:sz="8" w:space="0" w:color="5EB9CF" w:themeColor="accent1"/>
          <w:bottom w:val="single" w:sz="18" w:space="0" w:color="5EB9CF" w:themeColor="accent1"/>
          <w:right w:val="single" w:sz="8" w:space="0" w:color="5EB9CF" w:themeColor="accent1"/>
          <w:insideH w:val="nil"/>
          <w:insideV w:val="single" w:sz="8" w:space="0" w:color="5EB9C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EB9CF" w:themeColor="accent1"/>
          <w:left w:val="single" w:sz="8" w:space="0" w:color="5EB9CF" w:themeColor="accent1"/>
          <w:bottom w:val="single" w:sz="8" w:space="0" w:color="5EB9CF" w:themeColor="accent1"/>
          <w:right w:val="single" w:sz="8" w:space="0" w:color="5EB9CF" w:themeColor="accent1"/>
          <w:insideH w:val="nil"/>
          <w:insideV w:val="single" w:sz="8" w:space="0" w:color="5EB9C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EB9CF" w:themeColor="accent1"/>
          <w:left w:val="single" w:sz="8" w:space="0" w:color="5EB9CF" w:themeColor="accent1"/>
          <w:bottom w:val="single" w:sz="8" w:space="0" w:color="5EB9CF" w:themeColor="accent1"/>
          <w:right w:val="single" w:sz="8" w:space="0" w:color="5EB9CF" w:themeColor="accent1"/>
        </w:tcBorders>
      </w:tcPr>
    </w:tblStylePr>
    <w:tblStylePr w:type="band1Vert">
      <w:tblPr/>
      <w:tcPr>
        <w:tcBorders>
          <w:top w:val="single" w:sz="8" w:space="0" w:color="5EB9CF" w:themeColor="accent1"/>
          <w:left w:val="single" w:sz="8" w:space="0" w:color="5EB9CF" w:themeColor="accent1"/>
          <w:bottom w:val="single" w:sz="8" w:space="0" w:color="5EB9CF" w:themeColor="accent1"/>
          <w:right w:val="single" w:sz="8" w:space="0" w:color="5EB9CF" w:themeColor="accent1"/>
        </w:tcBorders>
        <w:shd w:val="clear" w:color="auto" w:fill="D7EDF3" w:themeFill="accent1" w:themeFillTint="3F"/>
      </w:tcPr>
    </w:tblStylePr>
    <w:tblStylePr w:type="band1Horz">
      <w:tblPr/>
      <w:tcPr>
        <w:tcBorders>
          <w:top w:val="single" w:sz="8" w:space="0" w:color="5EB9CF" w:themeColor="accent1"/>
          <w:left w:val="single" w:sz="8" w:space="0" w:color="5EB9CF" w:themeColor="accent1"/>
          <w:bottom w:val="single" w:sz="8" w:space="0" w:color="5EB9CF" w:themeColor="accent1"/>
          <w:right w:val="single" w:sz="8" w:space="0" w:color="5EB9CF" w:themeColor="accent1"/>
          <w:insideV w:val="single" w:sz="8" w:space="0" w:color="5EB9CF" w:themeColor="accent1"/>
        </w:tcBorders>
        <w:shd w:val="clear" w:color="auto" w:fill="D7EDF3" w:themeFill="accent1" w:themeFillTint="3F"/>
      </w:tcPr>
    </w:tblStylePr>
    <w:tblStylePr w:type="band2Horz">
      <w:tblPr/>
      <w:tcPr>
        <w:tcBorders>
          <w:top w:val="single" w:sz="8" w:space="0" w:color="5EB9CF" w:themeColor="accent1"/>
          <w:left w:val="single" w:sz="8" w:space="0" w:color="5EB9CF" w:themeColor="accent1"/>
          <w:bottom w:val="single" w:sz="8" w:space="0" w:color="5EB9CF" w:themeColor="accent1"/>
          <w:right w:val="single" w:sz="8" w:space="0" w:color="5EB9CF" w:themeColor="accent1"/>
          <w:insideV w:val="single" w:sz="8" w:space="0" w:color="5EB9CF" w:themeColor="accent1"/>
        </w:tcBorders>
      </w:tcPr>
    </w:tblStylePr>
  </w:style>
  <w:style w:type="table" w:styleId="HellesRaster-Akzent2">
    <w:name w:val="Light Grid Accent 2"/>
    <w:basedOn w:val="NormaleTabelle"/>
    <w:uiPriority w:val="62"/>
    <w:semiHidden/>
    <w:unhideWhenUsed/>
    <w:rsid w:val="001835F7"/>
    <w:tblPr>
      <w:tblStyleRowBandSize w:val="1"/>
      <w:tblStyleColBandSize w:val="1"/>
      <w:tblBorders>
        <w:top w:val="single" w:sz="8" w:space="0" w:color="A8A8A8" w:themeColor="accent2"/>
        <w:left w:val="single" w:sz="8" w:space="0" w:color="A8A8A8" w:themeColor="accent2"/>
        <w:bottom w:val="single" w:sz="8" w:space="0" w:color="A8A8A8" w:themeColor="accent2"/>
        <w:right w:val="single" w:sz="8" w:space="0" w:color="A8A8A8" w:themeColor="accent2"/>
        <w:insideH w:val="single" w:sz="8" w:space="0" w:color="A8A8A8" w:themeColor="accent2"/>
        <w:insideV w:val="single" w:sz="8" w:space="0" w:color="A8A8A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8A8A8" w:themeColor="accent2"/>
          <w:left w:val="single" w:sz="8" w:space="0" w:color="A8A8A8" w:themeColor="accent2"/>
          <w:bottom w:val="single" w:sz="18" w:space="0" w:color="A8A8A8" w:themeColor="accent2"/>
          <w:right w:val="single" w:sz="8" w:space="0" w:color="A8A8A8" w:themeColor="accent2"/>
          <w:insideH w:val="nil"/>
          <w:insideV w:val="single" w:sz="8" w:space="0" w:color="A8A8A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8A8A8" w:themeColor="accent2"/>
          <w:left w:val="single" w:sz="8" w:space="0" w:color="A8A8A8" w:themeColor="accent2"/>
          <w:bottom w:val="single" w:sz="8" w:space="0" w:color="A8A8A8" w:themeColor="accent2"/>
          <w:right w:val="single" w:sz="8" w:space="0" w:color="A8A8A8" w:themeColor="accent2"/>
          <w:insideH w:val="nil"/>
          <w:insideV w:val="single" w:sz="8" w:space="0" w:color="A8A8A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8A8A8" w:themeColor="accent2"/>
          <w:left w:val="single" w:sz="8" w:space="0" w:color="A8A8A8" w:themeColor="accent2"/>
          <w:bottom w:val="single" w:sz="8" w:space="0" w:color="A8A8A8" w:themeColor="accent2"/>
          <w:right w:val="single" w:sz="8" w:space="0" w:color="A8A8A8" w:themeColor="accent2"/>
        </w:tcBorders>
      </w:tcPr>
    </w:tblStylePr>
    <w:tblStylePr w:type="band1Vert">
      <w:tblPr/>
      <w:tcPr>
        <w:tcBorders>
          <w:top w:val="single" w:sz="8" w:space="0" w:color="A8A8A8" w:themeColor="accent2"/>
          <w:left w:val="single" w:sz="8" w:space="0" w:color="A8A8A8" w:themeColor="accent2"/>
          <w:bottom w:val="single" w:sz="8" w:space="0" w:color="A8A8A8" w:themeColor="accent2"/>
          <w:right w:val="single" w:sz="8" w:space="0" w:color="A8A8A8" w:themeColor="accent2"/>
        </w:tcBorders>
        <w:shd w:val="clear" w:color="auto" w:fill="E9E9E9" w:themeFill="accent2" w:themeFillTint="3F"/>
      </w:tcPr>
    </w:tblStylePr>
    <w:tblStylePr w:type="band1Horz">
      <w:tblPr/>
      <w:tcPr>
        <w:tcBorders>
          <w:top w:val="single" w:sz="8" w:space="0" w:color="A8A8A8" w:themeColor="accent2"/>
          <w:left w:val="single" w:sz="8" w:space="0" w:color="A8A8A8" w:themeColor="accent2"/>
          <w:bottom w:val="single" w:sz="8" w:space="0" w:color="A8A8A8" w:themeColor="accent2"/>
          <w:right w:val="single" w:sz="8" w:space="0" w:color="A8A8A8" w:themeColor="accent2"/>
          <w:insideV w:val="single" w:sz="8" w:space="0" w:color="A8A8A8" w:themeColor="accent2"/>
        </w:tcBorders>
        <w:shd w:val="clear" w:color="auto" w:fill="E9E9E9" w:themeFill="accent2" w:themeFillTint="3F"/>
      </w:tcPr>
    </w:tblStylePr>
    <w:tblStylePr w:type="band2Horz">
      <w:tblPr/>
      <w:tcPr>
        <w:tcBorders>
          <w:top w:val="single" w:sz="8" w:space="0" w:color="A8A8A8" w:themeColor="accent2"/>
          <w:left w:val="single" w:sz="8" w:space="0" w:color="A8A8A8" w:themeColor="accent2"/>
          <w:bottom w:val="single" w:sz="8" w:space="0" w:color="A8A8A8" w:themeColor="accent2"/>
          <w:right w:val="single" w:sz="8" w:space="0" w:color="A8A8A8" w:themeColor="accent2"/>
          <w:insideV w:val="single" w:sz="8" w:space="0" w:color="A8A8A8" w:themeColor="accent2"/>
        </w:tcBorders>
      </w:tcPr>
    </w:tblStylePr>
  </w:style>
  <w:style w:type="table" w:styleId="HellesRaster-Akzent3">
    <w:name w:val="Light Grid Accent 3"/>
    <w:basedOn w:val="NormaleTabelle"/>
    <w:uiPriority w:val="62"/>
    <w:semiHidden/>
    <w:unhideWhenUsed/>
    <w:rsid w:val="001835F7"/>
    <w:tblPr>
      <w:tblStyleRowBandSize w:val="1"/>
      <w:tblStyleColBandSize w:val="1"/>
      <w:tblBorders>
        <w:top w:val="single" w:sz="8" w:space="0" w:color="75B39D" w:themeColor="accent3"/>
        <w:left w:val="single" w:sz="8" w:space="0" w:color="75B39D" w:themeColor="accent3"/>
        <w:bottom w:val="single" w:sz="8" w:space="0" w:color="75B39D" w:themeColor="accent3"/>
        <w:right w:val="single" w:sz="8" w:space="0" w:color="75B39D" w:themeColor="accent3"/>
        <w:insideH w:val="single" w:sz="8" w:space="0" w:color="75B39D" w:themeColor="accent3"/>
        <w:insideV w:val="single" w:sz="8" w:space="0" w:color="75B39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39D" w:themeColor="accent3"/>
          <w:left w:val="single" w:sz="8" w:space="0" w:color="75B39D" w:themeColor="accent3"/>
          <w:bottom w:val="single" w:sz="18" w:space="0" w:color="75B39D" w:themeColor="accent3"/>
          <w:right w:val="single" w:sz="8" w:space="0" w:color="75B39D" w:themeColor="accent3"/>
          <w:insideH w:val="nil"/>
          <w:insideV w:val="single" w:sz="8" w:space="0" w:color="75B39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39D" w:themeColor="accent3"/>
          <w:left w:val="single" w:sz="8" w:space="0" w:color="75B39D" w:themeColor="accent3"/>
          <w:bottom w:val="single" w:sz="8" w:space="0" w:color="75B39D" w:themeColor="accent3"/>
          <w:right w:val="single" w:sz="8" w:space="0" w:color="75B39D" w:themeColor="accent3"/>
          <w:insideH w:val="nil"/>
          <w:insideV w:val="single" w:sz="8" w:space="0" w:color="75B39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39D" w:themeColor="accent3"/>
          <w:left w:val="single" w:sz="8" w:space="0" w:color="75B39D" w:themeColor="accent3"/>
          <w:bottom w:val="single" w:sz="8" w:space="0" w:color="75B39D" w:themeColor="accent3"/>
          <w:right w:val="single" w:sz="8" w:space="0" w:color="75B39D" w:themeColor="accent3"/>
        </w:tcBorders>
      </w:tcPr>
    </w:tblStylePr>
    <w:tblStylePr w:type="band1Vert">
      <w:tblPr/>
      <w:tcPr>
        <w:tcBorders>
          <w:top w:val="single" w:sz="8" w:space="0" w:color="75B39D" w:themeColor="accent3"/>
          <w:left w:val="single" w:sz="8" w:space="0" w:color="75B39D" w:themeColor="accent3"/>
          <w:bottom w:val="single" w:sz="8" w:space="0" w:color="75B39D" w:themeColor="accent3"/>
          <w:right w:val="single" w:sz="8" w:space="0" w:color="75B39D" w:themeColor="accent3"/>
        </w:tcBorders>
        <w:shd w:val="clear" w:color="auto" w:fill="DCECE6" w:themeFill="accent3" w:themeFillTint="3F"/>
      </w:tcPr>
    </w:tblStylePr>
    <w:tblStylePr w:type="band1Horz">
      <w:tblPr/>
      <w:tcPr>
        <w:tcBorders>
          <w:top w:val="single" w:sz="8" w:space="0" w:color="75B39D" w:themeColor="accent3"/>
          <w:left w:val="single" w:sz="8" w:space="0" w:color="75B39D" w:themeColor="accent3"/>
          <w:bottom w:val="single" w:sz="8" w:space="0" w:color="75B39D" w:themeColor="accent3"/>
          <w:right w:val="single" w:sz="8" w:space="0" w:color="75B39D" w:themeColor="accent3"/>
          <w:insideV w:val="single" w:sz="8" w:space="0" w:color="75B39D" w:themeColor="accent3"/>
        </w:tcBorders>
        <w:shd w:val="clear" w:color="auto" w:fill="DCECE6" w:themeFill="accent3" w:themeFillTint="3F"/>
      </w:tcPr>
    </w:tblStylePr>
    <w:tblStylePr w:type="band2Horz">
      <w:tblPr/>
      <w:tcPr>
        <w:tcBorders>
          <w:top w:val="single" w:sz="8" w:space="0" w:color="75B39D" w:themeColor="accent3"/>
          <w:left w:val="single" w:sz="8" w:space="0" w:color="75B39D" w:themeColor="accent3"/>
          <w:bottom w:val="single" w:sz="8" w:space="0" w:color="75B39D" w:themeColor="accent3"/>
          <w:right w:val="single" w:sz="8" w:space="0" w:color="75B39D" w:themeColor="accent3"/>
          <w:insideV w:val="single" w:sz="8" w:space="0" w:color="75B39D" w:themeColor="accent3"/>
        </w:tcBorders>
      </w:tcPr>
    </w:tblStylePr>
  </w:style>
  <w:style w:type="table" w:styleId="HellesRaster-Akzent4">
    <w:name w:val="Light Grid Accent 4"/>
    <w:basedOn w:val="NormaleTabelle"/>
    <w:uiPriority w:val="62"/>
    <w:semiHidden/>
    <w:unhideWhenUsed/>
    <w:rsid w:val="001835F7"/>
    <w:tblPr>
      <w:tblStyleRowBandSize w:val="1"/>
      <w:tblStyleColBandSize w:val="1"/>
      <w:tblBorders>
        <w:top w:val="single" w:sz="8" w:space="0" w:color="891B2D" w:themeColor="accent4"/>
        <w:left w:val="single" w:sz="8" w:space="0" w:color="891B2D" w:themeColor="accent4"/>
        <w:bottom w:val="single" w:sz="8" w:space="0" w:color="891B2D" w:themeColor="accent4"/>
        <w:right w:val="single" w:sz="8" w:space="0" w:color="891B2D" w:themeColor="accent4"/>
        <w:insideH w:val="single" w:sz="8" w:space="0" w:color="891B2D" w:themeColor="accent4"/>
        <w:insideV w:val="single" w:sz="8" w:space="0" w:color="891B2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1B2D" w:themeColor="accent4"/>
          <w:left w:val="single" w:sz="8" w:space="0" w:color="891B2D" w:themeColor="accent4"/>
          <w:bottom w:val="single" w:sz="18" w:space="0" w:color="891B2D" w:themeColor="accent4"/>
          <w:right w:val="single" w:sz="8" w:space="0" w:color="891B2D" w:themeColor="accent4"/>
          <w:insideH w:val="nil"/>
          <w:insideV w:val="single" w:sz="8" w:space="0" w:color="891B2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1B2D" w:themeColor="accent4"/>
          <w:left w:val="single" w:sz="8" w:space="0" w:color="891B2D" w:themeColor="accent4"/>
          <w:bottom w:val="single" w:sz="8" w:space="0" w:color="891B2D" w:themeColor="accent4"/>
          <w:right w:val="single" w:sz="8" w:space="0" w:color="891B2D" w:themeColor="accent4"/>
          <w:insideH w:val="nil"/>
          <w:insideV w:val="single" w:sz="8" w:space="0" w:color="891B2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1B2D" w:themeColor="accent4"/>
          <w:left w:val="single" w:sz="8" w:space="0" w:color="891B2D" w:themeColor="accent4"/>
          <w:bottom w:val="single" w:sz="8" w:space="0" w:color="891B2D" w:themeColor="accent4"/>
          <w:right w:val="single" w:sz="8" w:space="0" w:color="891B2D" w:themeColor="accent4"/>
        </w:tcBorders>
      </w:tcPr>
    </w:tblStylePr>
    <w:tblStylePr w:type="band1Vert">
      <w:tblPr/>
      <w:tcPr>
        <w:tcBorders>
          <w:top w:val="single" w:sz="8" w:space="0" w:color="891B2D" w:themeColor="accent4"/>
          <w:left w:val="single" w:sz="8" w:space="0" w:color="891B2D" w:themeColor="accent4"/>
          <w:bottom w:val="single" w:sz="8" w:space="0" w:color="891B2D" w:themeColor="accent4"/>
          <w:right w:val="single" w:sz="8" w:space="0" w:color="891B2D" w:themeColor="accent4"/>
        </w:tcBorders>
        <w:shd w:val="clear" w:color="auto" w:fill="F1B7C0" w:themeFill="accent4" w:themeFillTint="3F"/>
      </w:tcPr>
    </w:tblStylePr>
    <w:tblStylePr w:type="band1Horz">
      <w:tblPr/>
      <w:tcPr>
        <w:tcBorders>
          <w:top w:val="single" w:sz="8" w:space="0" w:color="891B2D" w:themeColor="accent4"/>
          <w:left w:val="single" w:sz="8" w:space="0" w:color="891B2D" w:themeColor="accent4"/>
          <w:bottom w:val="single" w:sz="8" w:space="0" w:color="891B2D" w:themeColor="accent4"/>
          <w:right w:val="single" w:sz="8" w:space="0" w:color="891B2D" w:themeColor="accent4"/>
          <w:insideV w:val="single" w:sz="8" w:space="0" w:color="891B2D" w:themeColor="accent4"/>
        </w:tcBorders>
        <w:shd w:val="clear" w:color="auto" w:fill="F1B7C0" w:themeFill="accent4" w:themeFillTint="3F"/>
      </w:tcPr>
    </w:tblStylePr>
    <w:tblStylePr w:type="band2Horz">
      <w:tblPr/>
      <w:tcPr>
        <w:tcBorders>
          <w:top w:val="single" w:sz="8" w:space="0" w:color="891B2D" w:themeColor="accent4"/>
          <w:left w:val="single" w:sz="8" w:space="0" w:color="891B2D" w:themeColor="accent4"/>
          <w:bottom w:val="single" w:sz="8" w:space="0" w:color="891B2D" w:themeColor="accent4"/>
          <w:right w:val="single" w:sz="8" w:space="0" w:color="891B2D" w:themeColor="accent4"/>
          <w:insideV w:val="single" w:sz="8" w:space="0" w:color="891B2D" w:themeColor="accent4"/>
        </w:tcBorders>
      </w:tcPr>
    </w:tblStylePr>
  </w:style>
  <w:style w:type="table" w:styleId="HellesRaster-Akzent5">
    <w:name w:val="Light Grid Accent 5"/>
    <w:basedOn w:val="NormaleTabelle"/>
    <w:uiPriority w:val="62"/>
    <w:semiHidden/>
    <w:unhideWhenUsed/>
    <w:rsid w:val="001835F7"/>
    <w:tblPr>
      <w:tblStyleRowBandSize w:val="1"/>
      <w:tblStyleColBandSize w:val="1"/>
      <w:tblBorders>
        <w:top w:val="single" w:sz="8" w:space="0" w:color="5C6224" w:themeColor="accent5"/>
        <w:left w:val="single" w:sz="8" w:space="0" w:color="5C6224" w:themeColor="accent5"/>
        <w:bottom w:val="single" w:sz="8" w:space="0" w:color="5C6224" w:themeColor="accent5"/>
        <w:right w:val="single" w:sz="8" w:space="0" w:color="5C6224" w:themeColor="accent5"/>
        <w:insideH w:val="single" w:sz="8" w:space="0" w:color="5C6224" w:themeColor="accent5"/>
        <w:insideV w:val="single" w:sz="8" w:space="0" w:color="5C622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6224" w:themeColor="accent5"/>
          <w:left w:val="single" w:sz="8" w:space="0" w:color="5C6224" w:themeColor="accent5"/>
          <w:bottom w:val="single" w:sz="18" w:space="0" w:color="5C6224" w:themeColor="accent5"/>
          <w:right w:val="single" w:sz="8" w:space="0" w:color="5C6224" w:themeColor="accent5"/>
          <w:insideH w:val="nil"/>
          <w:insideV w:val="single" w:sz="8" w:space="0" w:color="5C622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6224" w:themeColor="accent5"/>
          <w:left w:val="single" w:sz="8" w:space="0" w:color="5C6224" w:themeColor="accent5"/>
          <w:bottom w:val="single" w:sz="8" w:space="0" w:color="5C6224" w:themeColor="accent5"/>
          <w:right w:val="single" w:sz="8" w:space="0" w:color="5C6224" w:themeColor="accent5"/>
          <w:insideH w:val="nil"/>
          <w:insideV w:val="single" w:sz="8" w:space="0" w:color="5C622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6224" w:themeColor="accent5"/>
          <w:left w:val="single" w:sz="8" w:space="0" w:color="5C6224" w:themeColor="accent5"/>
          <w:bottom w:val="single" w:sz="8" w:space="0" w:color="5C6224" w:themeColor="accent5"/>
          <w:right w:val="single" w:sz="8" w:space="0" w:color="5C6224" w:themeColor="accent5"/>
        </w:tcBorders>
      </w:tcPr>
    </w:tblStylePr>
    <w:tblStylePr w:type="band1Vert">
      <w:tblPr/>
      <w:tcPr>
        <w:tcBorders>
          <w:top w:val="single" w:sz="8" w:space="0" w:color="5C6224" w:themeColor="accent5"/>
          <w:left w:val="single" w:sz="8" w:space="0" w:color="5C6224" w:themeColor="accent5"/>
          <w:bottom w:val="single" w:sz="8" w:space="0" w:color="5C6224" w:themeColor="accent5"/>
          <w:right w:val="single" w:sz="8" w:space="0" w:color="5C6224" w:themeColor="accent5"/>
        </w:tcBorders>
        <w:shd w:val="clear" w:color="auto" w:fill="E1E6BB" w:themeFill="accent5" w:themeFillTint="3F"/>
      </w:tcPr>
    </w:tblStylePr>
    <w:tblStylePr w:type="band1Horz">
      <w:tblPr/>
      <w:tcPr>
        <w:tcBorders>
          <w:top w:val="single" w:sz="8" w:space="0" w:color="5C6224" w:themeColor="accent5"/>
          <w:left w:val="single" w:sz="8" w:space="0" w:color="5C6224" w:themeColor="accent5"/>
          <w:bottom w:val="single" w:sz="8" w:space="0" w:color="5C6224" w:themeColor="accent5"/>
          <w:right w:val="single" w:sz="8" w:space="0" w:color="5C6224" w:themeColor="accent5"/>
          <w:insideV w:val="single" w:sz="8" w:space="0" w:color="5C6224" w:themeColor="accent5"/>
        </w:tcBorders>
        <w:shd w:val="clear" w:color="auto" w:fill="E1E6BB" w:themeFill="accent5" w:themeFillTint="3F"/>
      </w:tcPr>
    </w:tblStylePr>
    <w:tblStylePr w:type="band2Horz">
      <w:tblPr/>
      <w:tcPr>
        <w:tcBorders>
          <w:top w:val="single" w:sz="8" w:space="0" w:color="5C6224" w:themeColor="accent5"/>
          <w:left w:val="single" w:sz="8" w:space="0" w:color="5C6224" w:themeColor="accent5"/>
          <w:bottom w:val="single" w:sz="8" w:space="0" w:color="5C6224" w:themeColor="accent5"/>
          <w:right w:val="single" w:sz="8" w:space="0" w:color="5C6224" w:themeColor="accent5"/>
          <w:insideV w:val="single" w:sz="8" w:space="0" w:color="5C6224" w:themeColor="accent5"/>
        </w:tcBorders>
      </w:tcPr>
    </w:tblStylePr>
  </w:style>
  <w:style w:type="table" w:styleId="HellesRaster-Akzent6">
    <w:name w:val="Light Grid Accent 6"/>
    <w:basedOn w:val="NormaleTabelle"/>
    <w:uiPriority w:val="62"/>
    <w:semiHidden/>
    <w:unhideWhenUsed/>
    <w:rsid w:val="001835F7"/>
    <w:tblPr>
      <w:tblStyleRowBandSize w:val="1"/>
      <w:tblStyleColBandSize w:val="1"/>
      <w:tblBorders>
        <w:top w:val="single" w:sz="8" w:space="0" w:color="136F55" w:themeColor="accent6"/>
        <w:left w:val="single" w:sz="8" w:space="0" w:color="136F55" w:themeColor="accent6"/>
        <w:bottom w:val="single" w:sz="8" w:space="0" w:color="136F55" w:themeColor="accent6"/>
        <w:right w:val="single" w:sz="8" w:space="0" w:color="136F55" w:themeColor="accent6"/>
        <w:insideH w:val="single" w:sz="8" w:space="0" w:color="136F55" w:themeColor="accent6"/>
        <w:insideV w:val="single" w:sz="8" w:space="0" w:color="136F5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36F55" w:themeColor="accent6"/>
          <w:left w:val="single" w:sz="8" w:space="0" w:color="136F55" w:themeColor="accent6"/>
          <w:bottom w:val="single" w:sz="18" w:space="0" w:color="136F55" w:themeColor="accent6"/>
          <w:right w:val="single" w:sz="8" w:space="0" w:color="136F55" w:themeColor="accent6"/>
          <w:insideH w:val="nil"/>
          <w:insideV w:val="single" w:sz="8" w:space="0" w:color="136F5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36F55" w:themeColor="accent6"/>
          <w:left w:val="single" w:sz="8" w:space="0" w:color="136F55" w:themeColor="accent6"/>
          <w:bottom w:val="single" w:sz="8" w:space="0" w:color="136F55" w:themeColor="accent6"/>
          <w:right w:val="single" w:sz="8" w:space="0" w:color="136F55" w:themeColor="accent6"/>
          <w:insideH w:val="nil"/>
          <w:insideV w:val="single" w:sz="8" w:space="0" w:color="136F5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36F55" w:themeColor="accent6"/>
          <w:left w:val="single" w:sz="8" w:space="0" w:color="136F55" w:themeColor="accent6"/>
          <w:bottom w:val="single" w:sz="8" w:space="0" w:color="136F55" w:themeColor="accent6"/>
          <w:right w:val="single" w:sz="8" w:space="0" w:color="136F55" w:themeColor="accent6"/>
        </w:tcBorders>
      </w:tcPr>
    </w:tblStylePr>
    <w:tblStylePr w:type="band1Vert">
      <w:tblPr/>
      <w:tcPr>
        <w:tcBorders>
          <w:top w:val="single" w:sz="8" w:space="0" w:color="136F55" w:themeColor="accent6"/>
          <w:left w:val="single" w:sz="8" w:space="0" w:color="136F55" w:themeColor="accent6"/>
          <w:bottom w:val="single" w:sz="8" w:space="0" w:color="136F55" w:themeColor="accent6"/>
          <w:right w:val="single" w:sz="8" w:space="0" w:color="136F55" w:themeColor="accent6"/>
        </w:tcBorders>
        <w:shd w:val="clear" w:color="auto" w:fill="AEF1DE" w:themeFill="accent6" w:themeFillTint="3F"/>
      </w:tcPr>
    </w:tblStylePr>
    <w:tblStylePr w:type="band1Horz">
      <w:tblPr/>
      <w:tcPr>
        <w:tcBorders>
          <w:top w:val="single" w:sz="8" w:space="0" w:color="136F55" w:themeColor="accent6"/>
          <w:left w:val="single" w:sz="8" w:space="0" w:color="136F55" w:themeColor="accent6"/>
          <w:bottom w:val="single" w:sz="8" w:space="0" w:color="136F55" w:themeColor="accent6"/>
          <w:right w:val="single" w:sz="8" w:space="0" w:color="136F55" w:themeColor="accent6"/>
          <w:insideV w:val="single" w:sz="8" w:space="0" w:color="136F55" w:themeColor="accent6"/>
        </w:tcBorders>
        <w:shd w:val="clear" w:color="auto" w:fill="AEF1DE" w:themeFill="accent6" w:themeFillTint="3F"/>
      </w:tcPr>
    </w:tblStylePr>
    <w:tblStylePr w:type="band2Horz">
      <w:tblPr/>
      <w:tcPr>
        <w:tcBorders>
          <w:top w:val="single" w:sz="8" w:space="0" w:color="136F55" w:themeColor="accent6"/>
          <w:left w:val="single" w:sz="8" w:space="0" w:color="136F55" w:themeColor="accent6"/>
          <w:bottom w:val="single" w:sz="8" w:space="0" w:color="136F55" w:themeColor="accent6"/>
          <w:right w:val="single" w:sz="8" w:space="0" w:color="136F55" w:themeColor="accent6"/>
          <w:insideV w:val="single" w:sz="8" w:space="0" w:color="136F55" w:themeColor="accent6"/>
        </w:tcBorders>
      </w:tcPr>
    </w:tblStylePr>
  </w:style>
  <w:style w:type="table" w:styleId="HelleListe">
    <w:name w:val="Light List"/>
    <w:basedOn w:val="NormaleTabelle"/>
    <w:uiPriority w:val="61"/>
    <w:semiHidden/>
    <w:unhideWhenUsed/>
    <w:rsid w:val="001835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1835F7"/>
    <w:tblPr>
      <w:tblStyleRowBandSize w:val="1"/>
      <w:tblStyleColBandSize w:val="1"/>
      <w:tblBorders>
        <w:top w:val="single" w:sz="8" w:space="0" w:color="5EB9CF" w:themeColor="accent1"/>
        <w:left w:val="single" w:sz="8" w:space="0" w:color="5EB9CF" w:themeColor="accent1"/>
        <w:bottom w:val="single" w:sz="8" w:space="0" w:color="5EB9CF" w:themeColor="accent1"/>
        <w:right w:val="single" w:sz="8" w:space="0" w:color="5EB9CF" w:themeColor="accent1"/>
      </w:tblBorders>
    </w:tblPr>
    <w:tblStylePr w:type="firstRow">
      <w:pPr>
        <w:spacing w:before="0" w:after="0" w:line="240" w:lineRule="auto"/>
      </w:pPr>
      <w:rPr>
        <w:b/>
        <w:bCs/>
        <w:color w:val="FFFFFF" w:themeColor="background1"/>
      </w:rPr>
      <w:tblPr/>
      <w:tcPr>
        <w:shd w:val="clear" w:color="auto" w:fill="5EB9CF" w:themeFill="accent1"/>
      </w:tcPr>
    </w:tblStylePr>
    <w:tblStylePr w:type="lastRow">
      <w:pPr>
        <w:spacing w:before="0" w:after="0" w:line="240" w:lineRule="auto"/>
      </w:pPr>
      <w:rPr>
        <w:b/>
        <w:bCs/>
      </w:rPr>
      <w:tblPr/>
      <w:tcPr>
        <w:tcBorders>
          <w:top w:val="double" w:sz="6" w:space="0" w:color="5EB9CF" w:themeColor="accent1"/>
          <w:left w:val="single" w:sz="8" w:space="0" w:color="5EB9CF" w:themeColor="accent1"/>
          <w:bottom w:val="single" w:sz="8" w:space="0" w:color="5EB9CF" w:themeColor="accent1"/>
          <w:right w:val="single" w:sz="8" w:space="0" w:color="5EB9CF" w:themeColor="accent1"/>
        </w:tcBorders>
      </w:tcPr>
    </w:tblStylePr>
    <w:tblStylePr w:type="firstCol">
      <w:rPr>
        <w:b/>
        <w:bCs/>
      </w:rPr>
    </w:tblStylePr>
    <w:tblStylePr w:type="lastCol">
      <w:rPr>
        <w:b/>
        <w:bCs/>
      </w:rPr>
    </w:tblStylePr>
    <w:tblStylePr w:type="band1Vert">
      <w:tblPr/>
      <w:tcPr>
        <w:tcBorders>
          <w:top w:val="single" w:sz="8" w:space="0" w:color="5EB9CF" w:themeColor="accent1"/>
          <w:left w:val="single" w:sz="8" w:space="0" w:color="5EB9CF" w:themeColor="accent1"/>
          <w:bottom w:val="single" w:sz="8" w:space="0" w:color="5EB9CF" w:themeColor="accent1"/>
          <w:right w:val="single" w:sz="8" w:space="0" w:color="5EB9CF" w:themeColor="accent1"/>
        </w:tcBorders>
      </w:tcPr>
    </w:tblStylePr>
    <w:tblStylePr w:type="band1Horz">
      <w:tblPr/>
      <w:tcPr>
        <w:tcBorders>
          <w:top w:val="single" w:sz="8" w:space="0" w:color="5EB9CF" w:themeColor="accent1"/>
          <w:left w:val="single" w:sz="8" w:space="0" w:color="5EB9CF" w:themeColor="accent1"/>
          <w:bottom w:val="single" w:sz="8" w:space="0" w:color="5EB9CF" w:themeColor="accent1"/>
          <w:right w:val="single" w:sz="8" w:space="0" w:color="5EB9CF" w:themeColor="accent1"/>
        </w:tcBorders>
      </w:tcPr>
    </w:tblStylePr>
  </w:style>
  <w:style w:type="table" w:styleId="HelleListe-Akzent2">
    <w:name w:val="Light List Accent 2"/>
    <w:basedOn w:val="NormaleTabelle"/>
    <w:uiPriority w:val="61"/>
    <w:semiHidden/>
    <w:unhideWhenUsed/>
    <w:rsid w:val="001835F7"/>
    <w:tblPr>
      <w:tblStyleRowBandSize w:val="1"/>
      <w:tblStyleColBandSize w:val="1"/>
      <w:tblBorders>
        <w:top w:val="single" w:sz="8" w:space="0" w:color="A8A8A8" w:themeColor="accent2"/>
        <w:left w:val="single" w:sz="8" w:space="0" w:color="A8A8A8" w:themeColor="accent2"/>
        <w:bottom w:val="single" w:sz="8" w:space="0" w:color="A8A8A8" w:themeColor="accent2"/>
        <w:right w:val="single" w:sz="8" w:space="0" w:color="A8A8A8" w:themeColor="accent2"/>
      </w:tblBorders>
    </w:tblPr>
    <w:tblStylePr w:type="firstRow">
      <w:pPr>
        <w:spacing w:before="0" w:after="0" w:line="240" w:lineRule="auto"/>
      </w:pPr>
      <w:rPr>
        <w:b/>
        <w:bCs/>
        <w:color w:val="FFFFFF" w:themeColor="background1"/>
      </w:rPr>
      <w:tblPr/>
      <w:tcPr>
        <w:shd w:val="clear" w:color="auto" w:fill="A8A8A8" w:themeFill="accent2"/>
      </w:tcPr>
    </w:tblStylePr>
    <w:tblStylePr w:type="lastRow">
      <w:pPr>
        <w:spacing w:before="0" w:after="0" w:line="240" w:lineRule="auto"/>
      </w:pPr>
      <w:rPr>
        <w:b/>
        <w:bCs/>
      </w:rPr>
      <w:tblPr/>
      <w:tcPr>
        <w:tcBorders>
          <w:top w:val="double" w:sz="6" w:space="0" w:color="A8A8A8" w:themeColor="accent2"/>
          <w:left w:val="single" w:sz="8" w:space="0" w:color="A8A8A8" w:themeColor="accent2"/>
          <w:bottom w:val="single" w:sz="8" w:space="0" w:color="A8A8A8" w:themeColor="accent2"/>
          <w:right w:val="single" w:sz="8" w:space="0" w:color="A8A8A8" w:themeColor="accent2"/>
        </w:tcBorders>
      </w:tcPr>
    </w:tblStylePr>
    <w:tblStylePr w:type="firstCol">
      <w:rPr>
        <w:b/>
        <w:bCs/>
      </w:rPr>
    </w:tblStylePr>
    <w:tblStylePr w:type="lastCol">
      <w:rPr>
        <w:b/>
        <w:bCs/>
      </w:rPr>
    </w:tblStylePr>
    <w:tblStylePr w:type="band1Vert">
      <w:tblPr/>
      <w:tcPr>
        <w:tcBorders>
          <w:top w:val="single" w:sz="8" w:space="0" w:color="A8A8A8" w:themeColor="accent2"/>
          <w:left w:val="single" w:sz="8" w:space="0" w:color="A8A8A8" w:themeColor="accent2"/>
          <w:bottom w:val="single" w:sz="8" w:space="0" w:color="A8A8A8" w:themeColor="accent2"/>
          <w:right w:val="single" w:sz="8" w:space="0" w:color="A8A8A8" w:themeColor="accent2"/>
        </w:tcBorders>
      </w:tcPr>
    </w:tblStylePr>
    <w:tblStylePr w:type="band1Horz">
      <w:tblPr/>
      <w:tcPr>
        <w:tcBorders>
          <w:top w:val="single" w:sz="8" w:space="0" w:color="A8A8A8" w:themeColor="accent2"/>
          <w:left w:val="single" w:sz="8" w:space="0" w:color="A8A8A8" w:themeColor="accent2"/>
          <w:bottom w:val="single" w:sz="8" w:space="0" w:color="A8A8A8" w:themeColor="accent2"/>
          <w:right w:val="single" w:sz="8" w:space="0" w:color="A8A8A8" w:themeColor="accent2"/>
        </w:tcBorders>
      </w:tcPr>
    </w:tblStylePr>
  </w:style>
  <w:style w:type="table" w:styleId="HelleListe-Akzent3">
    <w:name w:val="Light List Accent 3"/>
    <w:basedOn w:val="NormaleTabelle"/>
    <w:uiPriority w:val="61"/>
    <w:semiHidden/>
    <w:unhideWhenUsed/>
    <w:rsid w:val="001835F7"/>
    <w:tblPr>
      <w:tblStyleRowBandSize w:val="1"/>
      <w:tblStyleColBandSize w:val="1"/>
      <w:tblBorders>
        <w:top w:val="single" w:sz="8" w:space="0" w:color="75B39D" w:themeColor="accent3"/>
        <w:left w:val="single" w:sz="8" w:space="0" w:color="75B39D" w:themeColor="accent3"/>
        <w:bottom w:val="single" w:sz="8" w:space="0" w:color="75B39D" w:themeColor="accent3"/>
        <w:right w:val="single" w:sz="8" w:space="0" w:color="75B39D" w:themeColor="accent3"/>
      </w:tblBorders>
    </w:tblPr>
    <w:tblStylePr w:type="firstRow">
      <w:pPr>
        <w:spacing w:before="0" w:after="0" w:line="240" w:lineRule="auto"/>
      </w:pPr>
      <w:rPr>
        <w:b/>
        <w:bCs/>
        <w:color w:val="FFFFFF" w:themeColor="background1"/>
      </w:rPr>
      <w:tblPr/>
      <w:tcPr>
        <w:shd w:val="clear" w:color="auto" w:fill="75B39D" w:themeFill="accent3"/>
      </w:tcPr>
    </w:tblStylePr>
    <w:tblStylePr w:type="lastRow">
      <w:pPr>
        <w:spacing w:before="0" w:after="0" w:line="240" w:lineRule="auto"/>
      </w:pPr>
      <w:rPr>
        <w:b/>
        <w:bCs/>
      </w:rPr>
      <w:tblPr/>
      <w:tcPr>
        <w:tcBorders>
          <w:top w:val="double" w:sz="6" w:space="0" w:color="75B39D" w:themeColor="accent3"/>
          <w:left w:val="single" w:sz="8" w:space="0" w:color="75B39D" w:themeColor="accent3"/>
          <w:bottom w:val="single" w:sz="8" w:space="0" w:color="75B39D" w:themeColor="accent3"/>
          <w:right w:val="single" w:sz="8" w:space="0" w:color="75B39D" w:themeColor="accent3"/>
        </w:tcBorders>
      </w:tcPr>
    </w:tblStylePr>
    <w:tblStylePr w:type="firstCol">
      <w:rPr>
        <w:b/>
        <w:bCs/>
      </w:rPr>
    </w:tblStylePr>
    <w:tblStylePr w:type="lastCol">
      <w:rPr>
        <w:b/>
        <w:bCs/>
      </w:rPr>
    </w:tblStylePr>
    <w:tblStylePr w:type="band1Vert">
      <w:tblPr/>
      <w:tcPr>
        <w:tcBorders>
          <w:top w:val="single" w:sz="8" w:space="0" w:color="75B39D" w:themeColor="accent3"/>
          <w:left w:val="single" w:sz="8" w:space="0" w:color="75B39D" w:themeColor="accent3"/>
          <w:bottom w:val="single" w:sz="8" w:space="0" w:color="75B39D" w:themeColor="accent3"/>
          <w:right w:val="single" w:sz="8" w:space="0" w:color="75B39D" w:themeColor="accent3"/>
        </w:tcBorders>
      </w:tcPr>
    </w:tblStylePr>
    <w:tblStylePr w:type="band1Horz">
      <w:tblPr/>
      <w:tcPr>
        <w:tcBorders>
          <w:top w:val="single" w:sz="8" w:space="0" w:color="75B39D" w:themeColor="accent3"/>
          <w:left w:val="single" w:sz="8" w:space="0" w:color="75B39D" w:themeColor="accent3"/>
          <w:bottom w:val="single" w:sz="8" w:space="0" w:color="75B39D" w:themeColor="accent3"/>
          <w:right w:val="single" w:sz="8" w:space="0" w:color="75B39D" w:themeColor="accent3"/>
        </w:tcBorders>
      </w:tcPr>
    </w:tblStylePr>
  </w:style>
  <w:style w:type="table" w:styleId="HelleListe-Akzent4">
    <w:name w:val="Light List Accent 4"/>
    <w:basedOn w:val="NormaleTabelle"/>
    <w:uiPriority w:val="61"/>
    <w:semiHidden/>
    <w:unhideWhenUsed/>
    <w:rsid w:val="001835F7"/>
    <w:tblPr>
      <w:tblStyleRowBandSize w:val="1"/>
      <w:tblStyleColBandSize w:val="1"/>
      <w:tblBorders>
        <w:top w:val="single" w:sz="8" w:space="0" w:color="891B2D" w:themeColor="accent4"/>
        <w:left w:val="single" w:sz="8" w:space="0" w:color="891B2D" w:themeColor="accent4"/>
        <w:bottom w:val="single" w:sz="8" w:space="0" w:color="891B2D" w:themeColor="accent4"/>
        <w:right w:val="single" w:sz="8" w:space="0" w:color="891B2D" w:themeColor="accent4"/>
      </w:tblBorders>
    </w:tblPr>
    <w:tblStylePr w:type="firstRow">
      <w:pPr>
        <w:spacing w:before="0" w:after="0" w:line="240" w:lineRule="auto"/>
      </w:pPr>
      <w:rPr>
        <w:b/>
        <w:bCs/>
        <w:color w:val="FFFFFF" w:themeColor="background1"/>
      </w:rPr>
      <w:tblPr/>
      <w:tcPr>
        <w:shd w:val="clear" w:color="auto" w:fill="891B2D" w:themeFill="accent4"/>
      </w:tcPr>
    </w:tblStylePr>
    <w:tblStylePr w:type="lastRow">
      <w:pPr>
        <w:spacing w:before="0" w:after="0" w:line="240" w:lineRule="auto"/>
      </w:pPr>
      <w:rPr>
        <w:b/>
        <w:bCs/>
      </w:rPr>
      <w:tblPr/>
      <w:tcPr>
        <w:tcBorders>
          <w:top w:val="double" w:sz="6" w:space="0" w:color="891B2D" w:themeColor="accent4"/>
          <w:left w:val="single" w:sz="8" w:space="0" w:color="891B2D" w:themeColor="accent4"/>
          <w:bottom w:val="single" w:sz="8" w:space="0" w:color="891B2D" w:themeColor="accent4"/>
          <w:right w:val="single" w:sz="8" w:space="0" w:color="891B2D" w:themeColor="accent4"/>
        </w:tcBorders>
      </w:tcPr>
    </w:tblStylePr>
    <w:tblStylePr w:type="firstCol">
      <w:rPr>
        <w:b/>
        <w:bCs/>
      </w:rPr>
    </w:tblStylePr>
    <w:tblStylePr w:type="lastCol">
      <w:rPr>
        <w:b/>
        <w:bCs/>
      </w:rPr>
    </w:tblStylePr>
    <w:tblStylePr w:type="band1Vert">
      <w:tblPr/>
      <w:tcPr>
        <w:tcBorders>
          <w:top w:val="single" w:sz="8" w:space="0" w:color="891B2D" w:themeColor="accent4"/>
          <w:left w:val="single" w:sz="8" w:space="0" w:color="891B2D" w:themeColor="accent4"/>
          <w:bottom w:val="single" w:sz="8" w:space="0" w:color="891B2D" w:themeColor="accent4"/>
          <w:right w:val="single" w:sz="8" w:space="0" w:color="891B2D" w:themeColor="accent4"/>
        </w:tcBorders>
      </w:tcPr>
    </w:tblStylePr>
    <w:tblStylePr w:type="band1Horz">
      <w:tblPr/>
      <w:tcPr>
        <w:tcBorders>
          <w:top w:val="single" w:sz="8" w:space="0" w:color="891B2D" w:themeColor="accent4"/>
          <w:left w:val="single" w:sz="8" w:space="0" w:color="891B2D" w:themeColor="accent4"/>
          <w:bottom w:val="single" w:sz="8" w:space="0" w:color="891B2D" w:themeColor="accent4"/>
          <w:right w:val="single" w:sz="8" w:space="0" w:color="891B2D" w:themeColor="accent4"/>
        </w:tcBorders>
      </w:tcPr>
    </w:tblStylePr>
  </w:style>
  <w:style w:type="table" w:styleId="HelleListe-Akzent5">
    <w:name w:val="Light List Accent 5"/>
    <w:basedOn w:val="NormaleTabelle"/>
    <w:uiPriority w:val="61"/>
    <w:semiHidden/>
    <w:unhideWhenUsed/>
    <w:rsid w:val="001835F7"/>
    <w:tblPr>
      <w:tblStyleRowBandSize w:val="1"/>
      <w:tblStyleColBandSize w:val="1"/>
      <w:tblBorders>
        <w:top w:val="single" w:sz="8" w:space="0" w:color="5C6224" w:themeColor="accent5"/>
        <w:left w:val="single" w:sz="8" w:space="0" w:color="5C6224" w:themeColor="accent5"/>
        <w:bottom w:val="single" w:sz="8" w:space="0" w:color="5C6224" w:themeColor="accent5"/>
        <w:right w:val="single" w:sz="8" w:space="0" w:color="5C6224" w:themeColor="accent5"/>
      </w:tblBorders>
    </w:tblPr>
    <w:tblStylePr w:type="firstRow">
      <w:pPr>
        <w:spacing w:before="0" w:after="0" w:line="240" w:lineRule="auto"/>
      </w:pPr>
      <w:rPr>
        <w:b/>
        <w:bCs/>
        <w:color w:val="FFFFFF" w:themeColor="background1"/>
      </w:rPr>
      <w:tblPr/>
      <w:tcPr>
        <w:shd w:val="clear" w:color="auto" w:fill="5C6224" w:themeFill="accent5"/>
      </w:tcPr>
    </w:tblStylePr>
    <w:tblStylePr w:type="lastRow">
      <w:pPr>
        <w:spacing w:before="0" w:after="0" w:line="240" w:lineRule="auto"/>
      </w:pPr>
      <w:rPr>
        <w:b/>
        <w:bCs/>
      </w:rPr>
      <w:tblPr/>
      <w:tcPr>
        <w:tcBorders>
          <w:top w:val="double" w:sz="6" w:space="0" w:color="5C6224" w:themeColor="accent5"/>
          <w:left w:val="single" w:sz="8" w:space="0" w:color="5C6224" w:themeColor="accent5"/>
          <w:bottom w:val="single" w:sz="8" w:space="0" w:color="5C6224" w:themeColor="accent5"/>
          <w:right w:val="single" w:sz="8" w:space="0" w:color="5C6224" w:themeColor="accent5"/>
        </w:tcBorders>
      </w:tcPr>
    </w:tblStylePr>
    <w:tblStylePr w:type="firstCol">
      <w:rPr>
        <w:b/>
        <w:bCs/>
      </w:rPr>
    </w:tblStylePr>
    <w:tblStylePr w:type="lastCol">
      <w:rPr>
        <w:b/>
        <w:bCs/>
      </w:rPr>
    </w:tblStylePr>
    <w:tblStylePr w:type="band1Vert">
      <w:tblPr/>
      <w:tcPr>
        <w:tcBorders>
          <w:top w:val="single" w:sz="8" w:space="0" w:color="5C6224" w:themeColor="accent5"/>
          <w:left w:val="single" w:sz="8" w:space="0" w:color="5C6224" w:themeColor="accent5"/>
          <w:bottom w:val="single" w:sz="8" w:space="0" w:color="5C6224" w:themeColor="accent5"/>
          <w:right w:val="single" w:sz="8" w:space="0" w:color="5C6224" w:themeColor="accent5"/>
        </w:tcBorders>
      </w:tcPr>
    </w:tblStylePr>
    <w:tblStylePr w:type="band1Horz">
      <w:tblPr/>
      <w:tcPr>
        <w:tcBorders>
          <w:top w:val="single" w:sz="8" w:space="0" w:color="5C6224" w:themeColor="accent5"/>
          <w:left w:val="single" w:sz="8" w:space="0" w:color="5C6224" w:themeColor="accent5"/>
          <w:bottom w:val="single" w:sz="8" w:space="0" w:color="5C6224" w:themeColor="accent5"/>
          <w:right w:val="single" w:sz="8" w:space="0" w:color="5C6224" w:themeColor="accent5"/>
        </w:tcBorders>
      </w:tcPr>
    </w:tblStylePr>
  </w:style>
  <w:style w:type="table" w:styleId="HelleListe-Akzent6">
    <w:name w:val="Light List Accent 6"/>
    <w:basedOn w:val="NormaleTabelle"/>
    <w:uiPriority w:val="61"/>
    <w:semiHidden/>
    <w:unhideWhenUsed/>
    <w:rsid w:val="001835F7"/>
    <w:tblPr>
      <w:tblStyleRowBandSize w:val="1"/>
      <w:tblStyleColBandSize w:val="1"/>
      <w:tblBorders>
        <w:top w:val="single" w:sz="8" w:space="0" w:color="136F55" w:themeColor="accent6"/>
        <w:left w:val="single" w:sz="8" w:space="0" w:color="136F55" w:themeColor="accent6"/>
        <w:bottom w:val="single" w:sz="8" w:space="0" w:color="136F55" w:themeColor="accent6"/>
        <w:right w:val="single" w:sz="8" w:space="0" w:color="136F55" w:themeColor="accent6"/>
      </w:tblBorders>
    </w:tblPr>
    <w:tblStylePr w:type="firstRow">
      <w:pPr>
        <w:spacing w:before="0" w:after="0" w:line="240" w:lineRule="auto"/>
      </w:pPr>
      <w:rPr>
        <w:b/>
        <w:bCs/>
        <w:color w:val="FFFFFF" w:themeColor="background1"/>
      </w:rPr>
      <w:tblPr/>
      <w:tcPr>
        <w:shd w:val="clear" w:color="auto" w:fill="136F55" w:themeFill="accent6"/>
      </w:tcPr>
    </w:tblStylePr>
    <w:tblStylePr w:type="lastRow">
      <w:pPr>
        <w:spacing w:before="0" w:after="0" w:line="240" w:lineRule="auto"/>
      </w:pPr>
      <w:rPr>
        <w:b/>
        <w:bCs/>
      </w:rPr>
      <w:tblPr/>
      <w:tcPr>
        <w:tcBorders>
          <w:top w:val="double" w:sz="6" w:space="0" w:color="136F55" w:themeColor="accent6"/>
          <w:left w:val="single" w:sz="8" w:space="0" w:color="136F55" w:themeColor="accent6"/>
          <w:bottom w:val="single" w:sz="8" w:space="0" w:color="136F55" w:themeColor="accent6"/>
          <w:right w:val="single" w:sz="8" w:space="0" w:color="136F55" w:themeColor="accent6"/>
        </w:tcBorders>
      </w:tcPr>
    </w:tblStylePr>
    <w:tblStylePr w:type="firstCol">
      <w:rPr>
        <w:b/>
        <w:bCs/>
      </w:rPr>
    </w:tblStylePr>
    <w:tblStylePr w:type="lastCol">
      <w:rPr>
        <w:b/>
        <w:bCs/>
      </w:rPr>
    </w:tblStylePr>
    <w:tblStylePr w:type="band1Vert">
      <w:tblPr/>
      <w:tcPr>
        <w:tcBorders>
          <w:top w:val="single" w:sz="8" w:space="0" w:color="136F55" w:themeColor="accent6"/>
          <w:left w:val="single" w:sz="8" w:space="0" w:color="136F55" w:themeColor="accent6"/>
          <w:bottom w:val="single" w:sz="8" w:space="0" w:color="136F55" w:themeColor="accent6"/>
          <w:right w:val="single" w:sz="8" w:space="0" w:color="136F55" w:themeColor="accent6"/>
        </w:tcBorders>
      </w:tcPr>
    </w:tblStylePr>
    <w:tblStylePr w:type="band1Horz">
      <w:tblPr/>
      <w:tcPr>
        <w:tcBorders>
          <w:top w:val="single" w:sz="8" w:space="0" w:color="136F55" w:themeColor="accent6"/>
          <w:left w:val="single" w:sz="8" w:space="0" w:color="136F55" w:themeColor="accent6"/>
          <w:bottom w:val="single" w:sz="8" w:space="0" w:color="136F55" w:themeColor="accent6"/>
          <w:right w:val="single" w:sz="8" w:space="0" w:color="136F55" w:themeColor="accent6"/>
        </w:tcBorders>
      </w:tcPr>
    </w:tblStylePr>
  </w:style>
  <w:style w:type="table" w:styleId="HelleSchattierung">
    <w:name w:val="Light Shading"/>
    <w:basedOn w:val="NormaleTabelle"/>
    <w:uiPriority w:val="60"/>
    <w:semiHidden/>
    <w:unhideWhenUsed/>
    <w:rsid w:val="001835F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1835F7"/>
    <w:rPr>
      <w:color w:val="3395AD" w:themeColor="accent1" w:themeShade="BF"/>
    </w:rPr>
    <w:tblPr>
      <w:tblStyleRowBandSize w:val="1"/>
      <w:tblStyleColBandSize w:val="1"/>
      <w:tblBorders>
        <w:top w:val="single" w:sz="8" w:space="0" w:color="5EB9CF" w:themeColor="accent1"/>
        <w:bottom w:val="single" w:sz="8" w:space="0" w:color="5EB9CF" w:themeColor="accent1"/>
      </w:tblBorders>
    </w:tblPr>
    <w:tblStylePr w:type="firstRow">
      <w:pPr>
        <w:spacing w:before="0" w:after="0" w:line="240" w:lineRule="auto"/>
      </w:pPr>
      <w:rPr>
        <w:b/>
        <w:bCs/>
      </w:rPr>
      <w:tblPr/>
      <w:tcPr>
        <w:tcBorders>
          <w:top w:val="single" w:sz="8" w:space="0" w:color="5EB9CF" w:themeColor="accent1"/>
          <w:left w:val="nil"/>
          <w:bottom w:val="single" w:sz="8" w:space="0" w:color="5EB9CF" w:themeColor="accent1"/>
          <w:right w:val="nil"/>
          <w:insideH w:val="nil"/>
          <w:insideV w:val="nil"/>
        </w:tcBorders>
      </w:tcPr>
    </w:tblStylePr>
    <w:tblStylePr w:type="lastRow">
      <w:pPr>
        <w:spacing w:before="0" w:after="0" w:line="240" w:lineRule="auto"/>
      </w:pPr>
      <w:rPr>
        <w:b/>
        <w:bCs/>
      </w:rPr>
      <w:tblPr/>
      <w:tcPr>
        <w:tcBorders>
          <w:top w:val="single" w:sz="8" w:space="0" w:color="5EB9CF" w:themeColor="accent1"/>
          <w:left w:val="nil"/>
          <w:bottom w:val="single" w:sz="8" w:space="0" w:color="5EB9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DF3" w:themeFill="accent1" w:themeFillTint="3F"/>
      </w:tcPr>
    </w:tblStylePr>
    <w:tblStylePr w:type="band1Horz">
      <w:tblPr/>
      <w:tcPr>
        <w:tcBorders>
          <w:left w:val="nil"/>
          <w:right w:val="nil"/>
          <w:insideH w:val="nil"/>
          <w:insideV w:val="nil"/>
        </w:tcBorders>
        <w:shd w:val="clear" w:color="auto" w:fill="D7EDF3" w:themeFill="accent1" w:themeFillTint="3F"/>
      </w:tcPr>
    </w:tblStylePr>
  </w:style>
  <w:style w:type="table" w:styleId="HelleSchattierung-Akzent2">
    <w:name w:val="Light Shading Accent 2"/>
    <w:basedOn w:val="NormaleTabelle"/>
    <w:uiPriority w:val="60"/>
    <w:semiHidden/>
    <w:unhideWhenUsed/>
    <w:rsid w:val="001835F7"/>
    <w:rPr>
      <w:color w:val="7D7D7D" w:themeColor="accent2" w:themeShade="BF"/>
    </w:rPr>
    <w:tblPr>
      <w:tblStyleRowBandSize w:val="1"/>
      <w:tblStyleColBandSize w:val="1"/>
      <w:tblBorders>
        <w:top w:val="single" w:sz="8" w:space="0" w:color="A8A8A8" w:themeColor="accent2"/>
        <w:bottom w:val="single" w:sz="8" w:space="0" w:color="A8A8A8" w:themeColor="accent2"/>
      </w:tblBorders>
    </w:tblPr>
    <w:tblStylePr w:type="firstRow">
      <w:pPr>
        <w:spacing w:before="0" w:after="0" w:line="240" w:lineRule="auto"/>
      </w:pPr>
      <w:rPr>
        <w:b/>
        <w:bCs/>
      </w:rPr>
      <w:tblPr/>
      <w:tcPr>
        <w:tcBorders>
          <w:top w:val="single" w:sz="8" w:space="0" w:color="A8A8A8" w:themeColor="accent2"/>
          <w:left w:val="nil"/>
          <w:bottom w:val="single" w:sz="8" w:space="0" w:color="A8A8A8" w:themeColor="accent2"/>
          <w:right w:val="nil"/>
          <w:insideH w:val="nil"/>
          <w:insideV w:val="nil"/>
        </w:tcBorders>
      </w:tcPr>
    </w:tblStylePr>
    <w:tblStylePr w:type="lastRow">
      <w:pPr>
        <w:spacing w:before="0" w:after="0" w:line="240" w:lineRule="auto"/>
      </w:pPr>
      <w:rPr>
        <w:b/>
        <w:bCs/>
      </w:rPr>
      <w:tblPr/>
      <w:tcPr>
        <w:tcBorders>
          <w:top w:val="single" w:sz="8" w:space="0" w:color="A8A8A8" w:themeColor="accent2"/>
          <w:left w:val="nil"/>
          <w:bottom w:val="single" w:sz="8" w:space="0" w:color="A8A8A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9E9" w:themeFill="accent2" w:themeFillTint="3F"/>
      </w:tcPr>
    </w:tblStylePr>
    <w:tblStylePr w:type="band1Horz">
      <w:tblPr/>
      <w:tcPr>
        <w:tcBorders>
          <w:left w:val="nil"/>
          <w:right w:val="nil"/>
          <w:insideH w:val="nil"/>
          <w:insideV w:val="nil"/>
        </w:tcBorders>
        <w:shd w:val="clear" w:color="auto" w:fill="E9E9E9" w:themeFill="accent2" w:themeFillTint="3F"/>
      </w:tcPr>
    </w:tblStylePr>
  </w:style>
  <w:style w:type="table" w:styleId="HelleSchattierung-Akzent3">
    <w:name w:val="Light Shading Accent 3"/>
    <w:basedOn w:val="NormaleTabelle"/>
    <w:uiPriority w:val="60"/>
    <w:semiHidden/>
    <w:unhideWhenUsed/>
    <w:rsid w:val="001835F7"/>
    <w:rPr>
      <w:color w:val="4E8E77" w:themeColor="accent3" w:themeShade="BF"/>
    </w:rPr>
    <w:tblPr>
      <w:tblStyleRowBandSize w:val="1"/>
      <w:tblStyleColBandSize w:val="1"/>
      <w:tblBorders>
        <w:top w:val="single" w:sz="8" w:space="0" w:color="75B39D" w:themeColor="accent3"/>
        <w:bottom w:val="single" w:sz="8" w:space="0" w:color="75B39D" w:themeColor="accent3"/>
      </w:tblBorders>
    </w:tblPr>
    <w:tblStylePr w:type="firstRow">
      <w:pPr>
        <w:spacing w:before="0" w:after="0" w:line="240" w:lineRule="auto"/>
      </w:pPr>
      <w:rPr>
        <w:b/>
        <w:bCs/>
      </w:rPr>
      <w:tblPr/>
      <w:tcPr>
        <w:tcBorders>
          <w:top w:val="single" w:sz="8" w:space="0" w:color="75B39D" w:themeColor="accent3"/>
          <w:left w:val="nil"/>
          <w:bottom w:val="single" w:sz="8" w:space="0" w:color="75B39D" w:themeColor="accent3"/>
          <w:right w:val="nil"/>
          <w:insideH w:val="nil"/>
          <w:insideV w:val="nil"/>
        </w:tcBorders>
      </w:tcPr>
    </w:tblStylePr>
    <w:tblStylePr w:type="lastRow">
      <w:pPr>
        <w:spacing w:before="0" w:after="0" w:line="240" w:lineRule="auto"/>
      </w:pPr>
      <w:rPr>
        <w:b/>
        <w:bCs/>
      </w:rPr>
      <w:tblPr/>
      <w:tcPr>
        <w:tcBorders>
          <w:top w:val="single" w:sz="8" w:space="0" w:color="75B39D" w:themeColor="accent3"/>
          <w:left w:val="nil"/>
          <w:bottom w:val="single" w:sz="8" w:space="0" w:color="75B39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CE6" w:themeFill="accent3" w:themeFillTint="3F"/>
      </w:tcPr>
    </w:tblStylePr>
    <w:tblStylePr w:type="band1Horz">
      <w:tblPr/>
      <w:tcPr>
        <w:tcBorders>
          <w:left w:val="nil"/>
          <w:right w:val="nil"/>
          <w:insideH w:val="nil"/>
          <w:insideV w:val="nil"/>
        </w:tcBorders>
        <w:shd w:val="clear" w:color="auto" w:fill="DCECE6" w:themeFill="accent3" w:themeFillTint="3F"/>
      </w:tcPr>
    </w:tblStylePr>
  </w:style>
  <w:style w:type="table" w:styleId="HelleSchattierung-Akzent4">
    <w:name w:val="Light Shading Accent 4"/>
    <w:basedOn w:val="NormaleTabelle"/>
    <w:uiPriority w:val="60"/>
    <w:semiHidden/>
    <w:unhideWhenUsed/>
    <w:rsid w:val="001835F7"/>
    <w:rPr>
      <w:color w:val="661421" w:themeColor="accent4" w:themeShade="BF"/>
    </w:rPr>
    <w:tblPr>
      <w:tblStyleRowBandSize w:val="1"/>
      <w:tblStyleColBandSize w:val="1"/>
      <w:tblBorders>
        <w:top w:val="single" w:sz="8" w:space="0" w:color="891B2D" w:themeColor="accent4"/>
        <w:bottom w:val="single" w:sz="8" w:space="0" w:color="891B2D" w:themeColor="accent4"/>
      </w:tblBorders>
    </w:tblPr>
    <w:tblStylePr w:type="firstRow">
      <w:pPr>
        <w:spacing w:before="0" w:after="0" w:line="240" w:lineRule="auto"/>
      </w:pPr>
      <w:rPr>
        <w:b/>
        <w:bCs/>
      </w:rPr>
      <w:tblPr/>
      <w:tcPr>
        <w:tcBorders>
          <w:top w:val="single" w:sz="8" w:space="0" w:color="891B2D" w:themeColor="accent4"/>
          <w:left w:val="nil"/>
          <w:bottom w:val="single" w:sz="8" w:space="0" w:color="891B2D" w:themeColor="accent4"/>
          <w:right w:val="nil"/>
          <w:insideH w:val="nil"/>
          <w:insideV w:val="nil"/>
        </w:tcBorders>
      </w:tcPr>
    </w:tblStylePr>
    <w:tblStylePr w:type="lastRow">
      <w:pPr>
        <w:spacing w:before="0" w:after="0" w:line="240" w:lineRule="auto"/>
      </w:pPr>
      <w:rPr>
        <w:b/>
        <w:bCs/>
      </w:rPr>
      <w:tblPr/>
      <w:tcPr>
        <w:tcBorders>
          <w:top w:val="single" w:sz="8" w:space="0" w:color="891B2D" w:themeColor="accent4"/>
          <w:left w:val="nil"/>
          <w:bottom w:val="single" w:sz="8" w:space="0" w:color="891B2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B7C0" w:themeFill="accent4" w:themeFillTint="3F"/>
      </w:tcPr>
    </w:tblStylePr>
    <w:tblStylePr w:type="band1Horz">
      <w:tblPr/>
      <w:tcPr>
        <w:tcBorders>
          <w:left w:val="nil"/>
          <w:right w:val="nil"/>
          <w:insideH w:val="nil"/>
          <w:insideV w:val="nil"/>
        </w:tcBorders>
        <w:shd w:val="clear" w:color="auto" w:fill="F1B7C0" w:themeFill="accent4" w:themeFillTint="3F"/>
      </w:tcPr>
    </w:tblStylePr>
  </w:style>
  <w:style w:type="table" w:styleId="HelleSchattierung-Akzent5">
    <w:name w:val="Light Shading Accent 5"/>
    <w:basedOn w:val="NormaleTabelle"/>
    <w:uiPriority w:val="60"/>
    <w:semiHidden/>
    <w:unhideWhenUsed/>
    <w:rsid w:val="001835F7"/>
    <w:rPr>
      <w:color w:val="44491B" w:themeColor="accent5" w:themeShade="BF"/>
    </w:rPr>
    <w:tblPr>
      <w:tblStyleRowBandSize w:val="1"/>
      <w:tblStyleColBandSize w:val="1"/>
      <w:tblBorders>
        <w:top w:val="single" w:sz="8" w:space="0" w:color="5C6224" w:themeColor="accent5"/>
        <w:bottom w:val="single" w:sz="8" w:space="0" w:color="5C6224" w:themeColor="accent5"/>
      </w:tblBorders>
    </w:tblPr>
    <w:tblStylePr w:type="firstRow">
      <w:pPr>
        <w:spacing w:before="0" w:after="0" w:line="240" w:lineRule="auto"/>
      </w:pPr>
      <w:rPr>
        <w:b/>
        <w:bCs/>
      </w:rPr>
      <w:tblPr/>
      <w:tcPr>
        <w:tcBorders>
          <w:top w:val="single" w:sz="8" w:space="0" w:color="5C6224" w:themeColor="accent5"/>
          <w:left w:val="nil"/>
          <w:bottom w:val="single" w:sz="8" w:space="0" w:color="5C6224" w:themeColor="accent5"/>
          <w:right w:val="nil"/>
          <w:insideH w:val="nil"/>
          <w:insideV w:val="nil"/>
        </w:tcBorders>
      </w:tcPr>
    </w:tblStylePr>
    <w:tblStylePr w:type="lastRow">
      <w:pPr>
        <w:spacing w:before="0" w:after="0" w:line="240" w:lineRule="auto"/>
      </w:pPr>
      <w:rPr>
        <w:b/>
        <w:bCs/>
      </w:rPr>
      <w:tblPr/>
      <w:tcPr>
        <w:tcBorders>
          <w:top w:val="single" w:sz="8" w:space="0" w:color="5C6224" w:themeColor="accent5"/>
          <w:left w:val="nil"/>
          <w:bottom w:val="single" w:sz="8" w:space="0" w:color="5C622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BB" w:themeFill="accent5" w:themeFillTint="3F"/>
      </w:tcPr>
    </w:tblStylePr>
    <w:tblStylePr w:type="band1Horz">
      <w:tblPr/>
      <w:tcPr>
        <w:tcBorders>
          <w:left w:val="nil"/>
          <w:right w:val="nil"/>
          <w:insideH w:val="nil"/>
          <w:insideV w:val="nil"/>
        </w:tcBorders>
        <w:shd w:val="clear" w:color="auto" w:fill="E1E6BB" w:themeFill="accent5" w:themeFillTint="3F"/>
      </w:tcPr>
    </w:tblStylePr>
  </w:style>
  <w:style w:type="table" w:styleId="HelleSchattierung-Akzent6">
    <w:name w:val="Light Shading Accent 6"/>
    <w:basedOn w:val="NormaleTabelle"/>
    <w:uiPriority w:val="60"/>
    <w:semiHidden/>
    <w:unhideWhenUsed/>
    <w:rsid w:val="001835F7"/>
    <w:rPr>
      <w:color w:val="0E533F" w:themeColor="accent6" w:themeShade="BF"/>
    </w:rPr>
    <w:tblPr>
      <w:tblStyleRowBandSize w:val="1"/>
      <w:tblStyleColBandSize w:val="1"/>
      <w:tblBorders>
        <w:top w:val="single" w:sz="8" w:space="0" w:color="136F55" w:themeColor="accent6"/>
        <w:bottom w:val="single" w:sz="8" w:space="0" w:color="136F55" w:themeColor="accent6"/>
      </w:tblBorders>
    </w:tblPr>
    <w:tblStylePr w:type="firstRow">
      <w:pPr>
        <w:spacing w:before="0" w:after="0" w:line="240" w:lineRule="auto"/>
      </w:pPr>
      <w:rPr>
        <w:b/>
        <w:bCs/>
      </w:rPr>
      <w:tblPr/>
      <w:tcPr>
        <w:tcBorders>
          <w:top w:val="single" w:sz="8" w:space="0" w:color="136F55" w:themeColor="accent6"/>
          <w:left w:val="nil"/>
          <w:bottom w:val="single" w:sz="8" w:space="0" w:color="136F55" w:themeColor="accent6"/>
          <w:right w:val="nil"/>
          <w:insideH w:val="nil"/>
          <w:insideV w:val="nil"/>
        </w:tcBorders>
      </w:tcPr>
    </w:tblStylePr>
    <w:tblStylePr w:type="lastRow">
      <w:pPr>
        <w:spacing w:before="0" w:after="0" w:line="240" w:lineRule="auto"/>
      </w:pPr>
      <w:rPr>
        <w:b/>
        <w:bCs/>
      </w:rPr>
      <w:tblPr/>
      <w:tcPr>
        <w:tcBorders>
          <w:top w:val="single" w:sz="8" w:space="0" w:color="136F55" w:themeColor="accent6"/>
          <w:left w:val="nil"/>
          <w:bottom w:val="single" w:sz="8" w:space="0" w:color="136F5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F1DE" w:themeFill="accent6" w:themeFillTint="3F"/>
      </w:tcPr>
    </w:tblStylePr>
    <w:tblStylePr w:type="band1Horz">
      <w:tblPr/>
      <w:tcPr>
        <w:tcBorders>
          <w:left w:val="nil"/>
          <w:right w:val="nil"/>
          <w:insideH w:val="nil"/>
          <w:insideV w:val="nil"/>
        </w:tcBorders>
        <w:shd w:val="clear" w:color="auto" w:fill="AEF1DE" w:themeFill="accent6" w:themeFillTint="3F"/>
      </w:tcPr>
    </w:tblStylePr>
  </w:style>
  <w:style w:type="paragraph" w:styleId="Listenabsatz">
    <w:name w:val="List Paragraph"/>
    <w:basedOn w:val="Standard"/>
    <w:uiPriority w:val="99"/>
    <w:semiHidden/>
    <w:qFormat/>
    <w:rsid w:val="001835F7"/>
    <w:pPr>
      <w:ind w:left="720"/>
      <w:contextualSpacing/>
    </w:pPr>
  </w:style>
  <w:style w:type="table" w:styleId="Listentabelle1hell">
    <w:name w:val="List Table 1 Light"/>
    <w:basedOn w:val="NormaleTabelle"/>
    <w:uiPriority w:val="46"/>
    <w:rsid w:val="001835F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1835F7"/>
    <w:tblPr>
      <w:tblStyleRowBandSize w:val="1"/>
      <w:tblStyleColBandSize w:val="1"/>
    </w:tblPr>
    <w:tblStylePr w:type="firstRow">
      <w:rPr>
        <w:b/>
        <w:bCs/>
      </w:rPr>
      <w:tblPr/>
      <w:tcPr>
        <w:tcBorders>
          <w:bottom w:val="single" w:sz="4" w:space="0" w:color="9ED4E2" w:themeColor="accent1" w:themeTint="99"/>
        </w:tcBorders>
      </w:tcPr>
    </w:tblStylePr>
    <w:tblStylePr w:type="lastRow">
      <w:rPr>
        <w:b/>
        <w:bCs/>
      </w:rPr>
      <w:tblPr/>
      <w:tcPr>
        <w:tcBorders>
          <w:top w:val="single" w:sz="4" w:space="0" w:color="9ED4E2" w:themeColor="accent1" w:themeTint="99"/>
        </w:tcBorders>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Listentabelle1hellAkzent2">
    <w:name w:val="List Table 1 Light Accent 2"/>
    <w:basedOn w:val="NormaleTabelle"/>
    <w:uiPriority w:val="46"/>
    <w:rsid w:val="001835F7"/>
    <w:tblPr>
      <w:tblStyleRowBandSize w:val="1"/>
      <w:tblStyleColBandSize w:val="1"/>
    </w:tblPr>
    <w:tblStylePr w:type="firstRow">
      <w:rPr>
        <w:b/>
        <w:bCs/>
      </w:rPr>
      <w:tblPr/>
      <w:tcPr>
        <w:tcBorders>
          <w:bottom w:val="single" w:sz="4" w:space="0" w:color="CACACA" w:themeColor="accent2" w:themeTint="99"/>
        </w:tcBorders>
      </w:tcPr>
    </w:tblStylePr>
    <w:tblStylePr w:type="lastRow">
      <w:rPr>
        <w:b/>
        <w:bCs/>
      </w:rPr>
      <w:tblPr/>
      <w:tcPr>
        <w:tcBorders>
          <w:top w:val="single" w:sz="4" w:space="0" w:color="CACACA" w:themeColor="accent2" w:themeTint="99"/>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Listentabelle1hellAkzent3">
    <w:name w:val="List Table 1 Light Accent 3"/>
    <w:basedOn w:val="NormaleTabelle"/>
    <w:uiPriority w:val="46"/>
    <w:rsid w:val="001835F7"/>
    <w:tblPr>
      <w:tblStyleRowBandSize w:val="1"/>
      <w:tblStyleColBandSize w:val="1"/>
    </w:tblPr>
    <w:tblStylePr w:type="firstRow">
      <w:rPr>
        <w:b/>
        <w:bCs/>
      </w:rPr>
      <w:tblPr/>
      <w:tcPr>
        <w:tcBorders>
          <w:bottom w:val="single" w:sz="4" w:space="0" w:color="ACD1C4" w:themeColor="accent3" w:themeTint="99"/>
        </w:tcBorders>
      </w:tcPr>
    </w:tblStylePr>
    <w:tblStylePr w:type="lastRow">
      <w:rPr>
        <w:b/>
        <w:bCs/>
      </w:rPr>
      <w:tblPr/>
      <w:tcPr>
        <w:tcBorders>
          <w:top w:val="single" w:sz="4" w:space="0" w:color="ACD1C4" w:themeColor="accent3" w:themeTint="99"/>
        </w:tcBorders>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Listentabelle1hellAkzent4">
    <w:name w:val="List Table 1 Light Accent 4"/>
    <w:basedOn w:val="NormaleTabelle"/>
    <w:uiPriority w:val="46"/>
    <w:rsid w:val="001835F7"/>
    <w:tblPr>
      <w:tblStyleRowBandSize w:val="1"/>
      <w:tblStyleColBandSize w:val="1"/>
    </w:tblPr>
    <w:tblStylePr w:type="firstRow">
      <w:rPr>
        <w:b/>
        <w:bCs/>
      </w:rPr>
      <w:tblPr/>
      <w:tcPr>
        <w:tcBorders>
          <w:bottom w:val="single" w:sz="4" w:space="0" w:color="DC5167" w:themeColor="accent4" w:themeTint="99"/>
        </w:tcBorders>
      </w:tcPr>
    </w:tblStylePr>
    <w:tblStylePr w:type="lastRow">
      <w:rPr>
        <w:b/>
        <w:bCs/>
      </w:rPr>
      <w:tblPr/>
      <w:tcPr>
        <w:tcBorders>
          <w:top w:val="single" w:sz="4" w:space="0" w:color="DC5167" w:themeColor="accent4" w:themeTint="99"/>
        </w:tcBorders>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Listentabelle1hellAkzent5">
    <w:name w:val="List Table 1 Light Accent 5"/>
    <w:basedOn w:val="NormaleTabelle"/>
    <w:uiPriority w:val="46"/>
    <w:rsid w:val="001835F7"/>
    <w:tblPr>
      <w:tblStyleRowBandSize w:val="1"/>
      <w:tblStyleColBandSize w:val="1"/>
    </w:tblPr>
    <w:tblStylePr w:type="firstRow">
      <w:rPr>
        <w:b/>
        <w:bCs/>
      </w:rPr>
      <w:tblPr/>
      <w:tcPr>
        <w:tcBorders>
          <w:bottom w:val="single" w:sz="4" w:space="0" w:color="B8C25A" w:themeColor="accent5" w:themeTint="99"/>
        </w:tcBorders>
      </w:tcPr>
    </w:tblStylePr>
    <w:tblStylePr w:type="lastRow">
      <w:rPr>
        <w:b/>
        <w:bCs/>
      </w:rPr>
      <w:tblPr/>
      <w:tcPr>
        <w:tcBorders>
          <w:top w:val="single" w:sz="4" w:space="0" w:color="B8C25A" w:themeColor="accent5" w:themeTint="99"/>
        </w:tcBorders>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Listentabelle1hellAkzent6">
    <w:name w:val="List Table 1 Light Accent 6"/>
    <w:basedOn w:val="NormaleTabelle"/>
    <w:uiPriority w:val="46"/>
    <w:rsid w:val="001835F7"/>
    <w:tblPr>
      <w:tblStyleRowBandSize w:val="1"/>
      <w:tblStyleColBandSize w:val="1"/>
    </w:tblPr>
    <w:tblStylePr w:type="firstRow">
      <w:rPr>
        <w:b/>
        <w:bCs/>
      </w:rPr>
      <w:tblPr/>
      <w:tcPr>
        <w:tcBorders>
          <w:bottom w:val="single" w:sz="4" w:space="0" w:color="3CDDAF" w:themeColor="accent6" w:themeTint="99"/>
        </w:tcBorders>
      </w:tcPr>
    </w:tblStylePr>
    <w:tblStylePr w:type="lastRow">
      <w:rPr>
        <w:b/>
        <w:bCs/>
      </w:rPr>
      <w:tblPr/>
      <w:tcPr>
        <w:tcBorders>
          <w:top w:val="single" w:sz="4" w:space="0" w:color="3CDDAF" w:themeColor="accent6" w:themeTint="99"/>
        </w:tcBorders>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Listentabelle2">
    <w:name w:val="List Table 2"/>
    <w:basedOn w:val="NormaleTabelle"/>
    <w:uiPriority w:val="47"/>
    <w:rsid w:val="001835F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1835F7"/>
    <w:tblPr>
      <w:tblStyleRowBandSize w:val="1"/>
      <w:tblStyleColBandSize w:val="1"/>
      <w:tblBorders>
        <w:top w:val="single" w:sz="4" w:space="0" w:color="9ED4E2" w:themeColor="accent1" w:themeTint="99"/>
        <w:bottom w:val="single" w:sz="4" w:space="0" w:color="9ED4E2" w:themeColor="accent1" w:themeTint="99"/>
        <w:insideH w:val="single" w:sz="4" w:space="0" w:color="9ED4E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Listentabelle2Akzent2">
    <w:name w:val="List Table 2 Accent 2"/>
    <w:basedOn w:val="NormaleTabelle"/>
    <w:uiPriority w:val="47"/>
    <w:rsid w:val="001835F7"/>
    <w:tblPr>
      <w:tblStyleRowBandSize w:val="1"/>
      <w:tblStyleColBandSize w:val="1"/>
      <w:tblBorders>
        <w:top w:val="single" w:sz="4" w:space="0" w:color="CACACA" w:themeColor="accent2" w:themeTint="99"/>
        <w:bottom w:val="single" w:sz="4" w:space="0" w:color="CACACA" w:themeColor="accent2" w:themeTint="99"/>
        <w:insideH w:val="single" w:sz="4" w:space="0" w:color="CACAC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Listentabelle2Akzent3">
    <w:name w:val="List Table 2 Accent 3"/>
    <w:basedOn w:val="NormaleTabelle"/>
    <w:uiPriority w:val="47"/>
    <w:rsid w:val="001835F7"/>
    <w:tblPr>
      <w:tblStyleRowBandSize w:val="1"/>
      <w:tblStyleColBandSize w:val="1"/>
      <w:tblBorders>
        <w:top w:val="single" w:sz="4" w:space="0" w:color="ACD1C4" w:themeColor="accent3" w:themeTint="99"/>
        <w:bottom w:val="single" w:sz="4" w:space="0" w:color="ACD1C4" w:themeColor="accent3" w:themeTint="99"/>
        <w:insideH w:val="single" w:sz="4" w:space="0" w:color="ACD1C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Listentabelle2Akzent4">
    <w:name w:val="List Table 2 Accent 4"/>
    <w:basedOn w:val="NormaleTabelle"/>
    <w:uiPriority w:val="47"/>
    <w:rsid w:val="001835F7"/>
    <w:tblPr>
      <w:tblStyleRowBandSize w:val="1"/>
      <w:tblStyleColBandSize w:val="1"/>
      <w:tblBorders>
        <w:top w:val="single" w:sz="4" w:space="0" w:color="DC5167" w:themeColor="accent4" w:themeTint="99"/>
        <w:bottom w:val="single" w:sz="4" w:space="0" w:color="DC5167" w:themeColor="accent4" w:themeTint="99"/>
        <w:insideH w:val="single" w:sz="4" w:space="0" w:color="DC516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Listentabelle2Akzent5">
    <w:name w:val="List Table 2 Accent 5"/>
    <w:basedOn w:val="NormaleTabelle"/>
    <w:uiPriority w:val="47"/>
    <w:rsid w:val="001835F7"/>
    <w:tblPr>
      <w:tblStyleRowBandSize w:val="1"/>
      <w:tblStyleColBandSize w:val="1"/>
      <w:tblBorders>
        <w:top w:val="single" w:sz="4" w:space="0" w:color="B8C25A" w:themeColor="accent5" w:themeTint="99"/>
        <w:bottom w:val="single" w:sz="4" w:space="0" w:color="B8C25A" w:themeColor="accent5" w:themeTint="99"/>
        <w:insideH w:val="single" w:sz="4" w:space="0" w:color="B8C25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Listentabelle2Akzent6">
    <w:name w:val="List Table 2 Accent 6"/>
    <w:basedOn w:val="NormaleTabelle"/>
    <w:uiPriority w:val="47"/>
    <w:rsid w:val="001835F7"/>
    <w:tblPr>
      <w:tblStyleRowBandSize w:val="1"/>
      <w:tblStyleColBandSize w:val="1"/>
      <w:tblBorders>
        <w:top w:val="single" w:sz="4" w:space="0" w:color="3CDDAF" w:themeColor="accent6" w:themeTint="99"/>
        <w:bottom w:val="single" w:sz="4" w:space="0" w:color="3CDDAF" w:themeColor="accent6" w:themeTint="99"/>
        <w:insideH w:val="single" w:sz="4" w:space="0" w:color="3CDDA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Listentabelle3">
    <w:name w:val="List Table 3"/>
    <w:basedOn w:val="NormaleTabelle"/>
    <w:uiPriority w:val="48"/>
    <w:rsid w:val="001835F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1835F7"/>
    <w:tblPr>
      <w:tblStyleRowBandSize w:val="1"/>
      <w:tblStyleColBandSize w:val="1"/>
      <w:tblBorders>
        <w:top w:val="single" w:sz="4" w:space="0" w:color="5EB9CF" w:themeColor="accent1"/>
        <w:left w:val="single" w:sz="4" w:space="0" w:color="5EB9CF" w:themeColor="accent1"/>
        <w:bottom w:val="single" w:sz="4" w:space="0" w:color="5EB9CF" w:themeColor="accent1"/>
        <w:right w:val="single" w:sz="4" w:space="0" w:color="5EB9CF" w:themeColor="accent1"/>
      </w:tblBorders>
    </w:tblPr>
    <w:tblStylePr w:type="firstRow">
      <w:rPr>
        <w:b/>
        <w:bCs/>
        <w:color w:val="FFFFFF" w:themeColor="background1"/>
      </w:rPr>
      <w:tblPr/>
      <w:tcPr>
        <w:shd w:val="clear" w:color="auto" w:fill="5EB9CF" w:themeFill="accent1"/>
      </w:tcPr>
    </w:tblStylePr>
    <w:tblStylePr w:type="lastRow">
      <w:rPr>
        <w:b/>
        <w:bCs/>
      </w:rPr>
      <w:tblPr/>
      <w:tcPr>
        <w:tcBorders>
          <w:top w:val="double" w:sz="4" w:space="0" w:color="5EB9C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B9CF" w:themeColor="accent1"/>
          <w:right w:val="single" w:sz="4" w:space="0" w:color="5EB9CF" w:themeColor="accent1"/>
        </w:tcBorders>
      </w:tcPr>
    </w:tblStylePr>
    <w:tblStylePr w:type="band1Horz">
      <w:tblPr/>
      <w:tcPr>
        <w:tcBorders>
          <w:top w:val="single" w:sz="4" w:space="0" w:color="5EB9CF" w:themeColor="accent1"/>
          <w:bottom w:val="single" w:sz="4" w:space="0" w:color="5EB9C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B9CF" w:themeColor="accent1"/>
          <w:left w:val="nil"/>
        </w:tcBorders>
      </w:tcPr>
    </w:tblStylePr>
    <w:tblStylePr w:type="swCell">
      <w:tblPr/>
      <w:tcPr>
        <w:tcBorders>
          <w:top w:val="double" w:sz="4" w:space="0" w:color="5EB9CF" w:themeColor="accent1"/>
          <w:right w:val="nil"/>
        </w:tcBorders>
      </w:tcPr>
    </w:tblStylePr>
  </w:style>
  <w:style w:type="table" w:styleId="Listentabelle3Akzent2">
    <w:name w:val="List Table 3 Accent 2"/>
    <w:basedOn w:val="NormaleTabelle"/>
    <w:uiPriority w:val="48"/>
    <w:rsid w:val="001835F7"/>
    <w:tblPr>
      <w:tblStyleRowBandSize w:val="1"/>
      <w:tblStyleColBandSize w:val="1"/>
      <w:tblBorders>
        <w:top w:val="single" w:sz="4" w:space="0" w:color="A8A8A8" w:themeColor="accent2"/>
        <w:left w:val="single" w:sz="4" w:space="0" w:color="A8A8A8" w:themeColor="accent2"/>
        <w:bottom w:val="single" w:sz="4" w:space="0" w:color="A8A8A8" w:themeColor="accent2"/>
        <w:right w:val="single" w:sz="4" w:space="0" w:color="A8A8A8" w:themeColor="accent2"/>
      </w:tblBorders>
    </w:tblPr>
    <w:tblStylePr w:type="firstRow">
      <w:rPr>
        <w:b/>
        <w:bCs/>
        <w:color w:val="FFFFFF" w:themeColor="background1"/>
      </w:rPr>
      <w:tblPr/>
      <w:tcPr>
        <w:shd w:val="clear" w:color="auto" w:fill="A8A8A8" w:themeFill="accent2"/>
      </w:tcPr>
    </w:tblStylePr>
    <w:tblStylePr w:type="lastRow">
      <w:rPr>
        <w:b/>
        <w:bCs/>
      </w:rPr>
      <w:tblPr/>
      <w:tcPr>
        <w:tcBorders>
          <w:top w:val="double" w:sz="4" w:space="0" w:color="A8A8A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A8A8" w:themeColor="accent2"/>
          <w:right w:val="single" w:sz="4" w:space="0" w:color="A8A8A8" w:themeColor="accent2"/>
        </w:tcBorders>
      </w:tcPr>
    </w:tblStylePr>
    <w:tblStylePr w:type="band1Horz">
      <w:tblPr/>
      <w:tcPr>
        <w:tcBorders>
          <w:top w:val="single" w:sz="4" w:space="0" w:color="A8A8A8" w:themeColor="accent2"/>
          <w:bottom w:val="single" w:sz="4" w:space="0" w:color="A8A8A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A8A8" w:themeColor="accent2"/>
          <w:left w:val="nil"/>
        </w:tcBorders>
      </w:tcPr>
    </w:tblStylePr>
    <w:tblStylePr w:type="swCell">
      <w:tblPr/>
      <w:tcPr>
        <w:tcBorders>
          <w:top w:val="double" w:sz="4" w:space="0" w:color="A8A8A8" w:themeColor="accent2"/>
          <w:right w:val="nil"/>
        </w:tcBorders>
      </w:tcPr>
    </w:tblStylePr>
  </w:style>
  <w:style w:type="table" w:styleId="Listentabelle3Akzent3">
    <w:name w:val="List Table 3 Accent 3"/>
    <w:basedOn w:val="NormaleTabelle"/>
    <w:uiPriority w:val="48"/>
    <w:rsid w:val="001835F7"/>
    <w:tblPr>
      <w:tblStyleRowBandSize w:val="1"/>
      <w:tblStyleColBandSize w:val="1"/>
      <w:tblBorders>
        <w:top w:val="single" w:sz="4" w:space="0" w:color="75B39D" w:themeColor="accent3"/>
        <w:left w:val="single" w:sz="4" w:space="0" w:color="75B39D" w:themeColor="accent3"/>
        <w:bottom w:val="single" w:sz="4" w:space="0" w:color="75B39D" w:themeColor="accent3"/>
        <w:right w:val="single" w:sz="4" w:space="0" w:color="75B39D" w:themeColor="accent3"/>
      </w:tblBorders>
    </w:tblPr>
    <w:tblStylePr w:type="firstRow">
      <w:rPr>
        <w:b/>
        <w:bCs/>
        <w:color w:val="FFFFFF" w:themeColor="background1"/>
      </w:rPr>
      <w:tblPr/>
      <w:tcPr>
        <w:shd w:val="clear" w:color="auto" w:fill="75B39D" w:themeFill="accent3"/>
      </w:tcPr>
    </w:tblStylePr>
    <w:tblStylePr w:type="lastRow">
      <w:rPr>
        <w:b/>
        <w:bCs/>
      </w:rPr>
      <w:tblPr/>
      <w:tcPr>
        <w:tcBorders>
          <w:top w:val="double" w:sz="4" w:space="0" w:color="75B39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39D" w:themeColor="accent3"/>
          <w:right w:val="single" w:sz="4" w:space="0" w:color="75B39D" w:themeColor="accent3"/>
        </w:tcBorders>
      </w:tcPr>
    </w:tblStylePr>
    <w:tblStylePr w:type="band1Horz">
      <w:tblPr/>
      <w:tcPr>
        <w:tcBorders>
          <w:top w:val="single" w:sz="4" w:space="0" w:color="75B39D" w:themeColor="accent3"/>
          <w:bottom w:val="single" w:sz="4" w:space="0" w:color="75B39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39D" w:themeColor="accent3"/>
          <w:left w:val="nil"/>
        </w:tcBorders>
      </w:tcPr>
    </w:tblStylePr>
    <w:tblStylePr w:type="swCell">
      <w:tblPr/>
      <w:tcPr>
        <w:tcBorders>
          <w:top w:val="double" w:sz="4" w:space="0" w:color="75B39D" w:themeColor="accent3"/>
          <w:right w:val="nil"/>
        </w:tcBorders>
      </w:tcPr>
    </w:tblStylePr>
  </w:style>
  <w:style w:type="table" w:styleId="Listentabelle3Akzent4">
    <w:name w:val="List Table 3 Accent 4"/>
    <w:basedOn w:val="NormaleTabelle"/>
    <w:uiPriority w:val="48"/>
    <w:rsid w:val="001835F7"/>
    <w:tblPr>
      <w:tblStyleRowBandSize w:val="1"/>
      <w:tblStyleColBandSize w:val="1"/>
      <w:tblBorders>
        <w:top w:val="single" w:sz="4" w:space="0" w:color="891B2D" w:themeColor="accent4"/>
        <w:left w:val="single" w:sz="4" w:space="0" w:color="891B2D" w:themeColor="accent4"/>
        <w:bottom w:val="single" w:sz="4" w:space="0" w:color="891B2D" w:themeColor="accent4"/>
        <w:right w:val="single" w:sz="4" w:space="0" w:color="891B2D" w:themeColor="accent4"/>
      </w:tblBorders>
    </w:tblPr>
    <w:tblStylePr w:type="firstRow">
      <w:rPr>
        <w:b/>
        <w:bCs/>
        <w:color w:val="FFFFFF" w:themeColor="background1"/>
      </w:rPr>
      <w:tblPr/>
      <w:tcPr>
        <w:shd w:val="clear" w:color="auto" w:fill="891B2D" w:themeFill="accent4"/>
      </w:tcPr>
    </w:tblStylePr>
    <w:tblStylePr w:type="lastRow">
      <w:rPr>
        <w:b/>
        <w:bCs/>
      </w:rPr>
      <w:tblPr/>
      <w:tcPr>
        <w:tcBorders>
          <w:top w:val="double" w:sz="4" w:space="0" w:color="891B2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1B2D" w:themeColor="accent4"/>
          <w:right w:val="single" w:sz="4" w:space="0" w:color="891B2D" w:themeColor="accent4"/>
        </w:tcBorders>
      </w:tcPr>
    </w:tblStylePr>
    <w:tblStylePr w:type="band1Horz">
      <w:tblPr/>
      <w:tcPr>
        <w:tcBorders>
          <w:top w:val="single" w:sz="4" w:space="0" w:color="891B2D" w:themeColor="accent4"/>
          <w:bottom w:val="single" w:sz="4" w:space="0" w:color="891B2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1B2D" w:themeColor="accent4"/>
          <w:left w:val="nil"/>
        </w:tcBorders>
      </w:tcPr>
    </w:tblStylePr>
    <w:tblStylePr w:type="swCell">
      <w:tblPr/>
      <w:tcPr>
        <w:tcBorders>
          <w:top w:val="double" w:sz="4" w:space="0" w:color="891B2D" w:themeColor="accent4"/>
          <w:right w:val="nil"/>
        </w:tcBorders>
      </w:tcPr>
    </w:tblStylePr>
  </w:style>
  <w:style w:type="table" w:styleId="Listentabelle3Akzent5">
    <w:name w:val="List Table 3 Accent 5"/>
    <w:basedOn w:val="NormaleTabelle"/>
    <w:uiPriority w:val="48"/>
    <w:rsid w:val="001835F7"/>
    <w:tblPr>
      <w:tblStyleRowBandSize w:val="1"/>
      <w:tblStyleColBandSize w:val="1"/>
      <w:tblBorders>
        <w:top w:val="single" w:sz="4" w:space="0" w:color="5C6224" w:themeColor="accent5"/>
        <w:left w:val="single" w:sz="4" w:space="0" w:color="5C6224" w:themeColor="accent5"/>
        <w:bottom w:val="single" w:sz="4" w:space="0" w:color="5C6224" w:themeColor="accent5"/>
        <w:right w:val="single" w:sz="4" w:space="0" w:color="5C6224" w:themeColor="accent5"/>
      </w:tblBorders>
    </w:tblPr>
    <w:tblStylePr w:type="firstRow">
      <w:rPr>
        <w:b/>
        <w:bCs/>
        <w:color w:val="FFFFFF" w:themeColor="background1"/>
      </w:rPr>
      <w:tblPr/>
      <w:tcPr>
        <w:shd w:val="clear" w:color="auto" w:fill="5C6224" w:themeFill="accent5"/>
      </w:tcPr>
    </w:tblStylePr>
    <w:tblStylePr w:type="lastRow">
      <w:rPr>
        <w:b/>
        <w:bCs/>
      </w:rPr>
      <w:tblPr/>
      <w:tcPr>
        <w:tcBorders>
          <w:top w:val="double" w:sz="4" w:space="0" w:color="5C622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6224" w:themeColor="accent5"/>
          <w:right w:val="single" w:sz="4" w:space="0" w:color="5C6224" w:themeColor="accent5"/>
        </w:tcBorders>
      </w:tcPr>
    </w:tblStylePr>
    <w:tblStylePr w:type="band1Horz">
      <w:tblPr/>
      <w:tcPr>
        <w:tcBorders>
          <w:top w:val="single" w:sz="4" w:space="0" w:color="5C6224" w:themeColor="accent5"/>
          <w:bottom w:val="single" w:sz="4" w:space="0" w:color="5C622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6224" w:themeColor="accent5"/>
          <w:left w:val="nil"/>
        </w:tcBorders>
      </w:tcPr>
    </w:tblStylePr>
    <w:tblStylePr w:type="swCell">
      <w:tblPr/>
      <w:tcPr>
        <w:tcBorders>
          <w:top w:val="double" w:sz="4" w:space="0" w:color="5C6224" w:themeColor="accent5"/>
          <w:right w:val="nil"/>
        </w:tcBorders>
      </w:tcPr>
    </w:tblStylePr>
  </w:style>
  <w:style w:type="table" w:styleId="Listentabelle3Akzent6">
    <w:name w:val="List Table 3 Accent 6"/>
    <w:basedOn w:val="NormaleTabelle"/>
    <w:uiPriority w:val="48"/>
    <w:rsid w:val="001835F7"/>
    <w:tblPr>
      <w:tblStyleRowBandSize w:val="1"/>
      <w:tblStyleColBandSize w:val="1"/>
      <w:tblBorders>
        <w:top w:val="single" w:sz="4" w:space="0" w:color="136F55" w:themeColor="accent6"/>
        <w:left w:val="single" w:sz="4" w:space="0" w:color="136F55" w:themeColor="accent6"/>
        <w:bottom w:val="single" w:sz="4" w:space="0" w:color="136F55" w:themeColor="accent6"/>
        <w:right w:val="single" w:sz="4" w:space="0" w:color="136F55" w:themeColor="accent6"/>
      </w:tblBorders>
    </w:tblPr>
    <w:tblStylePr w:type="firstRow">
      <w:rPr>
        <w:b/>
        <w:bCs/>
        <w:color w:val="FFFFFF" w:themeColor="background1"/>
      </w:rPr>
      <w:tblPr/>
      <w:tcPr>
        <w:shd w:val="clear" w:color="auto" w:fill="136F55" w:themeFill="accent6"/>
      </w:tcPr>
    </w:tblStylePr>
    <w:tblStylePr w:type="lastRow">
      <w:rPr>
        <w:b/>
        <w:bCs/>
      </w:rPr>
      <w:tblPr/>
      <w:tcPr>
        <w:tcBorders>
          <w:top w:val="double" w:sz="4" w:space="0" w:color="136F5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6F55" w:themeColor="accent6"/>
          <w:right w:val="single" w:sz="4" w:space="0" w:color="136F55" w:themeColor="accent6"/>
        </w:tcBorders>
      </w:tcPr>
    </w:tblStylePr>
    <w:tblStylePr w:type="band1Horz">
      <w:tblPr/>
      <w:tcPr>
        <w:tcBorders>
          <w:top w:val="single" w:sz="4" w:space="0" w:color="136F55" w:themeColor="accent6"/>
          <w:bottom w:val="single" w:sz="4" w:space="0" w:color="136F5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6F55" w:themeColor="accent6"/>
          <w:left w:val="nil"/>
        </w:tcBorders>
      </w:tcPr>
    </w:tblStylePr>
    <w:tblStylePr w:type="swCell">
      <w:tblPr/>
      <w:tcPr>
        <w:tcBorders>
          <w:top w:val="double" w:sz="4" w:space="0" w:color="136F55" w:themeColor="accent6"/>
          <w:right w:val="nil"/>
        </w:tcBorders>
      </w:tcPr>
    </w:tblStylePr>
  </w:style>
  <w:style w:type="table" w:styleId="Listentabelle4">
    <w:name w:val="List Table 4"/>
    <w:basedOn w:val="NormaleTabelle"/>
    <w:uiPriority w:val="49"/>
    <w:rsid w:val="001835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1835F7"/>
    <w:tblPr>
      <w:tblStyleRowBandSize w:val="1"/>
      <w:tblStyleColBandSize w:val="1"/>
      <w:tblBorders>
        <w:top w:val="single" w:sz="4" w:space="0" w:color="9ED4E2" w:themeColor="accent1" w:themeTint="99"/>
        <w:left w:val="single" w:sz="4" w:space="0" w:color="9ED4E2" w:themeColor="accent1" w:themeTint="99"/>
        <w:bottom w:val="single" w:sz="4" w:space="0" w:color="9ED4E2" w:themeColor="accent1" w:themeTint="99"/>
        <w:right w:val="single" w:sz="4" w:space="0" w:color="9ED4E2" w:themeColor="accent1" w:themeTint="99"/>
        <w:insideH w:val="single" w:sz="4" w:space="0" w:color="9ED4E2" w:themeColor="accent1" w:themeTint="99"/>
      </w:tblBorders>
    </w:tblPr>
    <w:tblStylePr w:type="firstRow">
      <w:rPr>
        <w:b/>
        <w:bCs/>
        <w:color w:val="FFFFFF" w:themeColor="background1"/>
      </w:rPr>
      <w:tblPr/>
      <w:tcPr>
        <w:tcBorders>
          <w:top w:val="single" w:sz="4" w:space="0" w:color="5EB9CF" w:themeColor="accent1"/>
          <w:left w:val="single" w:sz="4" w:space="0" w:color="5EB9CF" w:themeColor="accent1"/>
          <w:bottom w:val="single" w:sz="4" w:space="0" w:color="5EB9CF" w:themeColor="accent1"/>
          <w:right w:val="single" w:sz="4" w:space="0" w:color="5EB9CF" w:themeColor="accent1"/>
          <w:insideH w:val="nil"/>
        </w:tcBorders>
        <w:shd w:val="clear" w:color="auto" w:fill="5EB9CF" w:themeFill="accent1"/>
      </w:tcPr>
    </w:tblStylePr>
    <w:tblStylePr w:type="lastRow">
      <w:rPr>
        <w:b/>
        <w:bCs/>
      </w:rPr>
      <w:tblPr/>
      <w:tcPr>
        <w:tcBorders>
          <w:top w:val="double" w:sz="4" w:space="0" w:color="9ED4E2" w:themeColor="accent1" w:themeTint="99"/>
        </w:tcBorders>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Listentabelle4Akzent2">
    <w:name w:val="List Table 4 Accent 2"/>
    <w:basedOn w:val="NormaleTabelle"/>
    <w:uiPriority w:val="49"/>
    <w:rsid w:val="001835F7"/>
    <w:tblPr>
      <w:tblStyleRowBandSize w:val="1"/>
      <w:tblStyleColBandSize w:val="1"/>
      <w:tblBorders>
        <w:top w:val="single" w:sz="4" w:space="0" w:color="CACACA" w:themeColor="accent2" w:themeTint="99"/>
        <w:left w:val="single" w:sz="4" w:space="0" w:color="CACACA" w:themeColor="accent2" w:themeTint="99"/>
        <w:bottom w:val="single" w:sz="4" w:space="0" w:color="CACACA" w:themeColor="accent2" w:themeTint="99"/>
        <w:right w:val="single" w:sz="4" w:space="0" w:color="CACACA" w:themeColor="accent2" w:themeTint="99"/>
        <w:insideH w:val="single" w:sz="4" w:space="0" w:color="CACACA" w:themeColor="accent2" w:themeTint="99"/>
      </w:tblBorders>
    </w:tblPr>
    <w:tblStylePr w:type="firstRow">
      <w:rPr>
        <w:b/>
        <w:bCs/>
        <w:color w:val="FFFFFF" w:themeColor="background1"/>
      </w:rPr>
      <w:tblPr/>
      <w:tcPr>
        <w:tcBorders>
          <w:top w:val="single" w:sz="4" w:space="0" w:color="A8A8A8" w:themeColor="accent2"/>
          <w:left w:val="single" w:sz="4" w:space="0" w:color="A8A8A8" w:themeColor="accent2"/>
          <w:bottom w:val="single" w:sz="4" w:space="0" w:color="A8A8A8" w:themeColor="accent2"/>
          <w:right w:val="single" w:sz="4" w:space="0" w:color="A8A8A8" w:themeColor="accent2"/>
          <w:insideH w:val="nil"/>
        </w:tcBorders>
        <w:shd w:val="clear" w:color="auto" w:fill="A8A8A8" w:themeFill="accent2"/>
      </w:tcPr>
    </w:tblStylePr>
    <w:tblStylePr w:type="lastRow">
      <w:rPr>
        <w:b/>
        <w:bCs/>
      </w:rPr>
      <w:tblPr/>
      <w:tcPr>
        <w:tcBorders>
          <w:top w:val="double" w:sz="4" w:space="0" w:color="CACACA" w:themeColor="accent2" w:themeTint="99"/>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Listentabelle4Akzent3">
    <w:name w:val="List Table 4 Accent 3"/>
    <w:basedOn w:val="NormaleTabelle"/>
    <w:uiPriority w:val="49"/>
    <w:rsid w:val="001835F7"/>
    <w:tblPr>
      <w:tblStyleRowBandSize w:val="1"/>
      <w:tblStyleColBandSize w:val="1"/>
      <w:tblBorders>
        <w:top w:val="single" w:sz="4" w:space="0" w:color="ACD1C4" w:themeColor="accent3" w:themeTint="99"/>
        <w:left w:val="single" w:sz="4" w:space="0" w:color="ACD1C4" w:themeColor="accent3" w:themeTint="99"/>
        <w:bottom w:val="single" w:sz="4" w:space="0" w:color="ACD1C4" w:themeColor="accent3" w:themeTint="99"/>
        <w:right w:val="single" w:sz="4" w:space="0" w:color="ACD1C4" w:themeColor="accent3" w:themeTint="99"/>
        <w:insideH w:val="single" w:sz="4" w:space="0" w:color="ACD1C4" w:themeColor="accent3" w:themeTint="99"/>
      </w:tblBorders>
    </w:tblPr>
    <w:tblStylePr w:type="firstRow">
      <w:rPr>
        <w:b/>
        <w:bCs/>
        <w:color w:val="FFFFFF" w:themeColor="background1"/>
      </w:rPr>
      <w:tblPr/>
      <w:tcPr>
        <w:tcBorders>
          <w:top w:val="single" w:sz="4" w:space="0" w:color="75B39D" w:themeColor="accent3"/>
          <w:left w:val="single" w:sz="4" w:space="0" w:color="75B39D" w:themeColor="accent3"/>
          <w:bottom w:val="single" w:sz="4" w:space="0" w:color="75B39D" w:themeColor="accent3"/>
          <w:right w:val="single" w:sz="4" w:space="0" w:color="75B39D" w:themeColor="accent3"/>
          <w:insideH w:val="nil"/>
        </w:tcBorders>
        <w:shd w:val="clear" w:color="auto" w:fill="75B39D" w:themeFill="accent3"/>
      </w:tcPr>
    </w:tblStylePr>
    <w:tblStylePr w:type="lastRow">
      <w:rPr>
        <w:b/>
        <w:bCs/>
      </w:rPr>
      <w:tblPr/>
      <w:tcPr>
        <w:tcBorders>
          <w:top w:val="double" w:sz="4" w:space="0" w:color="ACD1C4" w:themeColor="accent3" w:themeTint="99"/>
        </w:tcBorders>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Listentabelle4Akzent4">
    <w:name w:val="List Table 4 Accent 4"/>
    <w:basedOn w:val="NormaleTabelle"/>
    <w:uiPriority w:val="49"/>
    <w:rsid w:val="001835F7"/>
    <w:tblPr>
      <w:tblStyleRowBandSize w:val="1"/>
      <w:tblStyleColBandSize w:val="1"/>
      <w:tblBorders>
        <w:top w:val="single" w:sz="4" w:space="0" w:color="DC5167" w:themeColor="accent4" w:themeTint="99"/>
        <w:left w:val="single" w:sz="4" w:space="0" w:color="DC5167" w:themeColor="accent4" w:themeTint="99"/>
        <w:bottom w:val="single" w:sz="4" w:space="0" w:color="DC5167" w:themeColor="accent4" w:themeTint="99"/>
        <w:right w:val="single" w:sz="4" w:space="0" w:color="DC5167" w:themeColor="accent4" w:themeTint="99"/>
        <w:insideH w:val="single" w:sz="4" w:space="0" w:color="DC5167" w:themeColor="accent4" w:themeTint="99"/>
      </w:tblBorders>
    </w:tblPr>
    <w:tblStylePr w:type="firstRow">
      <w:rPr>
        <w:b/>
        <w:bCs/>
        <w:color w:val="FFFFFF" w:themeColor="background1"/>
      </w:rPr>
      <w:tblPr/>
      <w:tcPr>
        <w:tcBorders>
          <w:top w:val="single" w:sz="4" w:space="0" w:color="891B2D" w:themeColor="accent4"/>
          <w:left w:val="single" w:sz="4" w:space="0" w:color="891B2D" w:themeColor="accent4"/>
          <w:bottom w:val="single" w:sz="4" w:space="0" w:color="891B2D" w:themeColor="accent4"/>
          <w:right w:val="single" w:sz="4" w:space="0" w:color="891B2D" w:themeColor="accent4"/>
          <w:insideH w:val="nil"/>
        </w:tcBorders>
        <w:shd w:val="clear" w:color="auto" w:fill="891B2D" w:themeFill="accent4"/>
      </w:tcPr>
    </w:tblStylePr>
    <w:tblStylePr w:type="lastRow">
      <w:rPr>
        <w:b/>
        <w:bCs/>
      </w:rPr>
      <w:tblPr/>
      <w:tcPr>
        <w:tcBorders>
          <w:top w:val="double" w:sz="4" w:space="0" w:color="DC5167" w:themeColor="accent4" w:themeTint="99"/>
        </w:tcBorders>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Listentabelle4Akzent5">
    <w:name w:val="List Table 4 Accent 5"/>
    <w:basedOn w:val="NormaleTabelle"/>
    <w:uiPriority w:val="49"/>
    <w:rsid w:val="001835F7"/>
    <w:tblPr>
      <w:tblStyleRowBandSize w:val="1"/>
      <w:tblStyleColBandSize w:val="1"/>
      <w:tblBorders>
        <w:top w:val="single" w:sz="4" w:space="0" w:color="B8C25A" w:themeColor="accent5" w:themeTint="99"/>
        <w:left w:val="single" w:sz="4" w:space="0" w:color="B8C25A" w:themeColor="accent5" w:themeTint="99"/>
        <w:bottom w:val="single" w:sz="4" w:space="0" w:color="B8C25A" w:themeColor="accent5" w:themeTint="99"/>
        <w:right w:val="single" w:sz="4" w:space="0" w:color="B8C25A" w:themeColor="accent5" w:themeTint="99"/>
        <w:insideH w:val="single" w:sz="4" w:space="0" w:color="B8C25A" w:themeColor="accent5" w:themeTint="99"/>
      </w:tblBorders>
    </w:tblPr>
    <w:tblStylePr w:type="firstRow">
      <w:rPr>
        <w:b/>
        <w:bCs/>
        <w:color w:val="FFFFFF" w:themeColor="background1"/>
      </w:rPr>
      <w:tblPr/>
      <w:tcPr>
        <w:tcBorders>
          <w:top w:val="single" w:sz="4" w:space="0" w:color="5C6224" w:themeColor="accent5"/>
          <w:left w:val="single" w:sz="4" w:space="0" w:color="5C6224" w:themeColor="accent5"/>
          <w:bottom w:val="single" w:sz="4" w:space="0" w:color="5C6224" w:themeColor="accent5"/>
          <w:right w:val="single" w:sz="4" w:space="0" w:color="5C6224" w:themeColor="accent5"/>
          <w:insideH w:val="nil"/>
        </w:tcBorders>
        <w:shd w:val="clear" w:color="auto" w:fill="5C6224" w:themeFill="accent5"/>
      </w:tcPr>
    </w:tblStylePr>
    <w:tblStylePr w:type="lastRow">
      <w:rPr>
        <w:b/>
        <w:bCs/>
      </w:rPr>
      <w:tblPr/>
      <w:tcPr>
        <w:tcBorders>
          <w:top w:val="double" w:sz="4" w:space="0" w:color="B8C25A" w:themeColor="accent5" w:themeTint="99"/>
        </w:tcBorders>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Listentabelle4Akzent6">
    <w:name w:val="List Table 4 Accent 6"/>
    <w:basedOn w:val="NormaleTabelle"/>
    <w:uiPriority w:val="49"/>
    <w:rsid w:val="001835F7"/>
    <w:tblPr>
      <w:tblStyleRowBandSize w:val="1"/>
      <w:tblStyleColBandSize w:val="1"/>
      <w:tblBorders>
        <w:top w:val="single" w:sz="4" w:space="0" w:color="3CDDAF" w:themeColor="accent6" w:themeTint="99"/>
        <w:left w:val="single" w:sz="4" w:space="0" w:color="3CDDAF" w:themeColor="accent6" w:themeTint="99"/>
        <w:bottom w:val="single" w:sz="4" w:space="0" w:color="3CDDAF" w:themeColor="accent6" w:themeTint="99"/>
        <w:right w:val="single" w:sz="4" w:space="0" w:color="3CDDAF" w:themeColor="accent6" w:themeTint="99"/>
        <w:insideH w:val="single" w:sz="4" w:space="0" w:color="3CDDAF" w:themeColor="accent6" w:themeTint="99"/>
      </w:tblBorders>
    </w:tblPr>
    <w:tblStylePr w:type="firstRow">
      <w:rPr>
        <w:b/>
        <w:bCs/>
        <w:color w:val="FFFFFF" w:themeColor="background1"/>
      </w:rPr>
      <w:tblPr/>
      <w:tcPr>
        <w:tcBorders>
          <w:top w:val="single" w:sz="4" w:space="0" w:color="136F55" w:themeColor="accent6"/>
          <w:left w:val="single" w:sz="4" w:space="0" w:color="136F55" w:themeColor="accent6"/>
          <w:bottom w:val="single" w:sz="4" w:space="0" w:color="136F55" w:themeColor="accent6"/>
          <w:right w:val="single" w:sz="4" w:space="0" w:color="136F55" w:themeColor="accent6"/>
          <w:insideH w:val="nil"/>
        </w:tcBorders>
        <w:shd w:val="clear" w:color="auto" w:fill="136F55" w:themeFill="accent6"/>
      </w:tcPr>
    </w:tblStylePr>
    <w:tblStylePr w:type="lastRow">
      <w:rPr>
        <w:b/>
        <w:bCs/>
      </w:rPr>
      <w:tblPr/>
      <w:tcPr>
        <w:tcBorders>
          <w:top w:val="double" w:sz="4" w:space="0" w:color="3CDDAF" w:themeColor="accent6" w:themeTint="99"/>
        </w:tcBorders>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Listentabelle5dunkel">
    <w:name w:val="List Table 5 Dark"/>
    <w:basedOn w:val="NormaleTabelle"/>
    <w:uiPriority w:val="50"/>
    <w:rsid w:val="001835F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1835F7"/>
    <w:rPr>
      <w:color w:val="FFFFFF" w:themeColor="background1"/>
    </w:rPr>
    <w:tblPr>
      <w:tblStyleRowBandSize w:val="1"/>
      <w:tblStyleColBandSize w:val="1"/>
      <w:tblBorders>
        <w:top w:val="single" w:sz="24" w:space="0" w:color="5EB9CF" w:themeColor="accent1"/>
        <w:left w:val="single" w:sz="24" w:space="0" w:color="5EB9CF" w:themeColor="accent1"/>
        <w:bottom w:val="single" w:sz="24" w:space="0" w:color="5EB9CF" w:themeColor="accent1"/>
        <w:right w:val="single" w:sz="24" w:space="0" w:color="5EB9CF" w:themeColor="accent1"/>
      </w:tblBorders>
    </w:tblPr>
    <w:tcPr>
      <w:shd w:val="clear" w:color="auto" w:fill="5EB9C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1835F7"/>
    <w:rPr>
      <w:color w:val="FFFFFF" w:themeColor="background1"/>
    </w:rPr>
    <w:tblPr>
      <w:tblStyleRowBandSize w:val="1"/>
      <w:tblStyleColBandSize w:val="1"/>
      <w:tblBorders>
        <w:top w:val="single" w:sz="24" w:space="0" w:color="A8A8A8" w:themeColor="accent2"/>
        <w:left w:val="single" w:sz="24" w:space="0" w:color="A8A8A8" w:themeColor="accent2"/>
        <w:bottom w:val="single" w:sz="24" w:space="0" w:color="A8A8A8" w:themeColor="accent2"/>
        <w:right w:val="single" w:sz="24" w:space="0" w:color="A8A8A8" w:themeColor="accent2"/>
      </w:tblBorders>
    </w:tblPr>
    <w:tcPr>
      <w:shd w:val="clear" w:color="auto" w:fill="A8A8A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1835F7"/>
    <w:rPr>
      <w:color w:val="FFFFFF" w:themeColor="background1"/>
    </w:rPr>
    <w:tblPr>
      <w:tblStyleRowBandSize w:val="1"/>
      <w:tblStyleColBandSize w:val="1"/>
      <w:tblBorders>
        <w:top w:val="single" w:sz="24" w:space="0" w:color="75B39D" w:themeColor="accent3"/>
        <w:left w:val="single" w:sz="24" w:space="0" w:color="75B39D" w:themeColor="accent3"/>
        <w:bottom w:val="single" w:sz="24" w:space="0" w:color="75B39D" w:themeColor="accent3"/>
        <w:right w:val="single" w:sz="24" w:space="0" w:color="75B39D" w:themeColor="accent3"/>
      </w:tblBorders>
    </w:tblPr>
    <w:tcPr>
      <w:shd w:val="clear" w:color="auto" w:fill="75B39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1835F7"/>
    <w:rPr>
      <w:color w:val="FFFFFF" w:themeColor="background1"/>
    </w:rPr>
    <w:tblPr>
      <w:tblStyleRowBandSize w:val="1"/>
      <w:tblStyleColBandSize w:val="1"/>
      <w:tblBorders>
        <w:top w:val="single" w:sz="24" w:space="0" w:color="891B2D" w:themeColor="accent4"/>
        <w:left w:val="single" w:sz="24" w:space="0" w:color="891B2D" w:themeColor="accent4"/>
        <w:bottom w:val="single" w:sz="24" w:space="0" w:color="891B2D" w:themeColor="accent4"/>
        <w:right w:val="single" w:sz="24" w:space="0" w:color="891B2D" w:themeColor="accent4"/>
      </w:tblBorders>
    </w:tblPr>
    <w:tcPr>
      <w:shd w:val="clear" w:color="auto" w:fill="891B2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1835F7"/>
    <w:rPr>
      <w:color w:val="FFFFFF" w:themeColor="background1"/>
    </w:rPr>
    <w:tblPr>
      <w:tblStyleRowBandSize w:val="1"/>
      <w:tblStyleColBandSize w:val="1"/>
      <w:tblBorders>
        <w:top w:val="single" w:sz="24" w:space="0" w:color="5C6224" w:themeColor="accent5"/>
        <w:left w:val="single" w:sz="24" w:space="0" w:color="5C6224" w:themeColor="accent5"/>
        <w:bottom w:val="single" w:sz="24" w:space="0" w:color="5C6224" w:themeColor="accent5"/>
        <w:right w:val="single" w:sz="24" w:space="0" w:color="5C6224" w:themeColor="accent5"/>
      </w:tblBorders>
    </w:tblPr>
    <w:tcPr>
      <w:shd w:val="clear" w:color="auto" w:fill="5C622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1835F7"/>
    <w:rPr>
      <w:color w:val="FFFFFF" w:themeColor="background1"/>
    </w:rPr>
    <w:tblPr>
      <w:tblStyleRowBandSize w:val="1"/>
      <w:tblStyleColBandSize w:val="1"/>
      <w:tblBorders>
        <w:top w:val="single" w:sz="24" w:space="0" w:color="136F55" w:themeColor="accent6"/>
        <w:left w:val="single" w:sz="24" w:space="0" w:color="136F55" w:themeColor="accent6"/>
        <w:bottom w:val="single" w:sz="24" w:space="0" w:color="136F55" w:themeColor="accent6"/>
        <w:right w:val="single" w:sz="24" w:space="0" w:color="136F55" w:themeColor="accent6"/>
      </w:tblBorders>
    </w:tblPr>
    <w:tcPr>
      <w:shd w:val="clear" w:color="auto" w:fill="136F5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1835F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1835F7"/>
    <w:rPr>
      <w:color w:val="3395AD" w:themeColor="accent1" w:themeShade="BF"/>
    </w:rPr>
    <w:tblPr>
      <w:tblStyleRowBandSize w:val="1"/>
      <w:tblStyleColBandSize w:val="1"/>
      <w:tblBorders>
        <w:top w:val="single" w:sz="4" w:space="0" w:color="5EB9CF" w:themeColor="accent1"/>
        <w:bottom w:val="single" w:sz="4" w:space="0" w:color="5EB9CF" w:themeColor="accent1"/>
      </w:tblBorders>
    </w:tblPr>
    <w:tblStylePr w:type="firstRow">
      <w:rPr>
        <w:b/>
        <w:bCs/>
      </w:rPr>
      <w:tblPr/>
      <w:tcPr>
        <w:tcBorders>
          <w:bottom w:val="single" w:sz="4" w:space="0" w:color="5EB9CF" w:themeColor="accent1"/>
        </w:tcBorders>
      </w:tcPr>
    </w:tblStylePr>
    <w:tblStylePr w:type="lastRow">
      <w:rPr>
        <w:b/>
        <w:bCs/>
      </w:rPr>
      <w:tblPr/>
      <w:tcPr>
        <w:tcBorders>
          <w:top w:val="double" w:sz="4" w:space="0" w:color="5EB9CF" w:themeColor="accent1"/>
        </w:tcBorders>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Listentabelle6farbigAkzent2">
    <w:name w:val="List Table 6 Colorful Accent 2"/>
    <w:basedOn w:val="NormaleTabelle"/>
    <w:uiPriority w:val="51"/>
    <w:rsid w:val="001835F7"/>
    <w:rPr>
      <w:color w:val="7D7D7D" w:themeColor="accent2" w:themeShade="BF"/>
    </w:rPr>
    <w:tblPr>
      <w:tblStyleRowBandSize w:val="1"/>
      <w:tblStyleColBandSize w:val="1"/>
      <w:tblBorders>
        <w:top w:val="single" w:sz="4" w:space="0" w:color="A8A8A8" w:themeColor="accent2"/>
        <w:bottom w:val="single" w:sz="4" w:space="0" w:color="A8A8A8" w:themeColor="accent2"/>
      </w:tblBorders>
    </w:tblPr>
    <w:tblStylePr w:type="firstRow">
      <w:rPr>
        <w:b/>
        <w:bCs/>
      </w:rPr>
      <w:tblPr/>
      <w:tcPr>
        <w:tcBorders>
          <w:bottom w:val="single" w:sz="4" w:space="0" w:color="A8A8A8" w:themeColor="accent2"/>
        </w:tcBorders>
      </w:tcPr>
    </w:tblStylePr>
    <w:tblStylePr w:type="lastRow">
      <w:rPr>
        <w:b/>
        <w:bCs/>
      </w:rPr>
      <w:tblPr/>
      <w:tcPr>
        <w:tcBorders>
          <w:top w:val="double" w:sz="4" w:space="0" w:color="A8A8A8" w:themeColor="accent2"/>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Listentabelle6farbigAkzent3">
    <w:name w:val="List Table 6 Colorful Accent 3"/>
    <w:basedOn w:val="NormaleTabelle"/>
    <w:uiPriority w:val="51"/>
    <w:rsid w:val="001835F7"/>
    <w:rPr>
      <w:color w:val="4E8E77" w:themeColor="accent3" w:themeShade="BF"/>
    </w:rPr>
    <w:tblPr>
      <w:tblStyleRowBandSize w:val="1"/>
      <w:tblStyleColBandSize w:val="1"/>
      <w:tblBorders>
        <w:top w:val="single" w:sz="4" w:space="0" w:color="75B39D" w:themeColor="accent3"/>
        <w:bottom w:val="single" w:sz="4" w:space="0" w:color="75B39D" w:themeColor="accent3"/>
      </w:tblBorders>
    </w:tblPr>
    <w:tblStylePr w:type="firstRow">
      <w:rPr>
        <w:b/>
        <w:bCs/>
      </w:rPr>
      <w:tblPr/>
      <w:tcPr>
        <w:tcBorders>
          <w:bottom w:val="single" w:sz="4" w:space="0" w:color="75B39D" w:themeColor="accent3"/>
        </w:tcBorders>
      </w:tcPr>
    </w:tblStylePr>
    <w:tblStylePr w:type="lastRow">
      <w:rPr>
        <w:b/>
        <w:bCs/>
      </w:rPr>
      <w:tblPr/>
      <w:tcPr>
        <w:tcBorders>
          <w:top w:val="double" w:sz="4" w:space="0" w:color="75B39D" w:themeColor="accent3"/>
        </w:tcBorders>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Listentabelle6farbigAkzent4">
    <w:name w:val="List Table 6 Colorful Accent 4"/>
    <w:basedOn w:val="NormaleTabelle"/>
    <w:uiPriority w:val="51"/>
    <w:rsid w:val="001835F7"/>
    <w:rPr>
      <w:color w:val="661421" w:themeColor="accent4" w:themeShade="BF"/>
    </w:rPr>
    <w:tblPr>
      <w:tblStyleRowBandSize w:val="1"/>
      <w:tblStyleColBandSize w:val="1"/>
      <w:tblBorders>
        <w:top w:val="single" w:sz="4" w:space="0" w:color="891B2D" w:themeColor="accent4"/>
        <w:bottom w:val="single" w:sz="4" w:space="0" w:color="891B2D" w:themeColor="accent4"/>
      </w:tblBorders>
    </w:tblPr>
    <w:tblStylePr w:type="firstRow">
      <w:rPr>
        <w:b/>
        <w:bCs/>
      </w:rPr>
      <w:tblPr/>
      <w:tcPr>
        <w:tcBorders>
          <w:bottom w:val="single" w:sz="4" w:space="0" w:color="891B2D" w:themeColor="accent4"/>
        </w:tcBorders>
      </w:tcPr>
    </w:tblStylePr>
    <w:tblStylePr w:type="lastRow">
      <w:rPr>
        <w:b/>
        <w:bCs/>
      </w:rPr>
      <w:tblPr/>
      <w:tcPr>
        <w:tcBorders>
          <w:top w:val="double" w:sz="4" w:space="0" w:color="891B2D" w:themeColor="accent4"/>
        </w:tcBorders>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Listentabelle6farbigAkzent5">
    <w:name w:val="List Table 6 Colorful Accent 5"/>
    <w:basedOn w:val="NormaleTabelle"/>
    <w:uiPriority w:val="51"/>
    <w:rsid w:val="001835F7"/>
    <w:rPr>
      <w:color w:val="44491B" w:themeColor="accent5" w:themeShade="BF"/>
    </w:rPr>
    <w:tblPr>
      <w:tblStyleRowBandSize w:val="1"/>
      <w:tblStyleColBandSize w:val="1"/>
      <w:tblBorders>
        <w:top w:val="single" w:sz="4" w:space="0" w:color="5C6224" w:themeColor="accent5"/>
        <w:bottom w:val="single" w:sz="4" w:space="0" w:color="5C6224" w:themeColor="accent5"/>
      </w:tblBorders>
    </w:tblPr>
    <w:tblStylePr w:type="firstRow">
      <w:rPr>
        <w:b/>
        <w:bCs/>
      </w:rPr>
      <w:tblPr/>
      <w:tcPr>
        <w:tcBorders>
          <w:bottom w:val="single" w:sz="4" w:space="0" w:color="5C6224" w:themeColor="accent5"/>
        </w:tcBorders>
      </w:tcPr>
    </w:tblStylePr>
    <w:tblStylePr w:type="lastRow">
      <w:rPr>
        <w:b/>
        <w:bCs/>
      </w:rPr>
      <w:tblPr/>
      <w:tcPr>
        <w:tcBorders>
          <w:top w:val="double" w:sz="4" w:space="0" w:color="5C6224" w:themeColor="accent5"/>
        </w:tcBorders>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Listentabelle6farbigAkzent6">
    <w:name w:val="List Table 6 Colorful Accent 6"/>
    <w:basedOn w:val="NormaleTabelle"/>
    <w:uiPriority w:val="51"/>
    <w:rsid w:val="001835F7"/>
    <w:rPr>
      <w:color w:val="0E533F" w:themeColor="accent6" w:themeShade="BF"/>
    </w:rPr>
    <w:tblPr>
      <w:tblStyleRowBandSize w:val="1"/>
      <w:tblStyleColBandSize w:val="1"/>
      <w:tblBorders>
        <w:top w:val="single" w:sz="4" w:space="0" w:color="136F55" w:themeColor="accent6"/>
        <w:bottom w:val="single" w:sz="4" w:space="0" w:color="136F55" w:themeColor="accent6"/>
      </w:tblBorders>
    </w:tblPr>
    <w:tblStylePr w:type="firstRow">
      <w:rPr>
        <w:b/>
        <w:bCs/>
      </w:rPr>
      <w:tblPr/>
      <w:tcPr>
        <w:tcBorders>
          <w:bottom w:val="single" w:sz="4" w:space="0" w:color="136F55" w:themeColor="accent6"/>
        </w:tcBorders>
      </w:tcPr>
    </w:tblStylePr>
    <w:tblStylePr w:type="lastRow">
      <w:rPr>
        <w:b/>
        <w:bCs/>
      </w:rPr>
      <w:tblPr/>
      <w:tcPr>
        <w:tcBorders>
          <w:top w:val="double" w:sz="4" w:space="0" w:color="136F55" w:themeColor="accent6"/>
        </w:tcBorders>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Listentabelle7farbig">
    <w:name w:val="List Table 7 Colorful"/>
    <w:basedOn w:val="NormaleTabelle"/>
    <w:uiPriority w:val="52"/>
    <w:rsid w:val="001835F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1835F7"/>
    <w:rPr>
      <w:color w:val="3395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EB9C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EB9C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EB9C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EB9CF" w:themeColor="accent1"/>
        </w:tcBorders>
        <w:shd w:val="clear" w:color="auto" w:fill="FFFFFF" w:themeFill="background1"/>
      </w:tcPr>
    </w:tblStylePr>
    <w:tblStylePr w:type="band1Vert">
      <w:tblPr/>
      <w:tcPr>
        <w:shd w:val="clear" w:color="auto" w:fill="DEF0F5" w:themeFill="accent1" w:themeFillTint="33"/>
      </w:tcPr>
    </w:tblStylePr>
    <w:tblStylePr w:type="band1Horz">
      <w:tblPr/>
      <w:tcPr>
        <w:shd w:val="clear" w:color="auto" w:fill="DEF0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1835F7"/>
    <w:rPr>
      <w:color w:val="7D7D7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A8A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A8A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A8A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A8A8" w:themeColor="accent2"/>
        </w:tcBorders>
        <w:shd w:val="clear" w:color="auto" w:fill="FFFFFF" w:themeFill="background1"/>
      </w:tcPr>
    </w:tblStylePr>
    <w:tblStylePr w:type="band1Vert">
      <w:tblPr/>
      <w:tcPr>
        <w:shd w:val="clear" w:color="auto" w:fill="EDEDED" w:themeFill="accent2" w:themeFillTint="33"/>
      </w:tcPr>
    </w:tblStylePr>
    <w:tblStylePr w:type="band1Horz">
      <w:tblPr/>
      <w:tcPr>
        <w:shd w:val="clear" w:color="auto" w:fill="E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1835F7"/>
    <w:rPr>
      <w:color w:val="4E8E7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39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39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39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39D" w:themeColor="accent3"/>
        </w:tcBorders>
        <w:shd w:val="clear" w:color="auto" w:fill="FFFFFF" w:themeFill="background1"/>
      </w:tcPr>
    </w:tblStylePr>
    <w:tblStylePr w:type="band1Vert">
      <w:tblPr/>
      <w:tcPr>
        <w:shd w:val="clear" w:color="auto" w:fill="E3EFEB" w:themeFill="accent3" w:themeFillTint="33"/>
      </w:tcPr>
    </w:tblStylePr>
    <w:tblStylePr w:type="band1Horz">
      <w:tblPr/>
      <w:tcPr>
        <w:shd w:val="clear" w:color="auto" w:fill="E3EF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1835F7"/>
    <w:rPr>
      <w:color w:val="66142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1B2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1B2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1B2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1B2D" w:themeColor="accent4"/>
        </w:tcBorders>
        <w:shd w:val="clear" w:color="auto" w:fill="FFFFFF" w:themeFill="background1"/>
      </w:tcPr>
    </w:tblStylePr>
    <w:tblStylePr w:type="band1Vert">
      <w:tblPr/>
      <w:tcPr>
        <w:shd w:val="clear" w:color="auto" w:fill="F3C5CC" w:themeFill="accent4" w:themeFillTint="33"/>
      </w:tcPr>
    </w:tblStylePr>
    <w:tblStylePr w:type="band1Horz">
      <w:tblPr/>
      <w:tcPr>
        <w:shd w:val="clear" w:color="auto" w:fill="F3C5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1835F7"/>
    <w:rPr>
      <w:color w:val="44491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622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622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622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6224" w:themeColor="accent5"/>
        </w:tcBorders>
        <w:shd w:val="clear" w:color="auto" w:fill="FFFFFF" w:themeFill="background1"/>
      </w:tcPr>
    </w:tblStylePr>
    <w:tblStylePr w:type="band1Vert">
      <w:tblPr/>
      <w:tcPr>
        <w:shd w:val="clear" w:color="auto" w:fill="E7EAC7" w:themeFill="accent5" w:themeFillTint="33"/>
      </w:tcPr>
    </w:tblStylePr>
    <w:tblStylePr w:type="band1Horz">
      <w:tblPr/>
      <w:tcPr>
        <w:shd w:val="clear" w:color="auto" w:fill="E7EA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1835F7"/>
    <w:rPr>
      <w:color w:val="0E533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36F5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36F5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36F5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36F55" w:themeColor="accent6"/>
        </w:tcBorders>
        <w:shd w:val="clear" w:color="auto" w:fill="FFFFFF" w:themeFill="background1"/>
      </w:tcPr>
    </w:tblStylePr>
    <w:tblStylePr w:type="band1Vert">
      <w:tblPr/>
      <w:tcPr>
        <w:shd w:val="clear" w:color="auto" w:fill="BEF4E4" w:themeFill="accent6" w:themeFillTint="33"/>
      </w:tcPr>
    </w:tblStylePr>
    <w:tblStylePr w:type="band1Horz">
      <w:tblPr/>
      <w:tcPr>
        <w:shd w:val="clear" w:color="auto" w:fill="BEF4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semiHidden/>
    <w:unhideWhenUsed/>
    <w:rsid w:val="001835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1835F7"/>
    <w:tblPr>
      <w:tblStyleRowBandSize w:val="1"/>
      <w:tblStyleColBandSize w:val="1"/>
      <w:tblBorders>
        <w:top w:val="single" w:sz="8" w:space="0" w:color="86CADB" w:themeColor="accent1" w:themeTint="BF"/>
        <w:left w:val="single" w:sz="8" w:space="0" w:color="86CADB" w:themeColor="accent1" w:themeTint="BF"/>
        <w:bottom w:val="single" w:sz="8" w:space="0" w:color="86CADB" w:themeColor="accent1" w:themeTint="BF"/>
        <w:right w:val="single" w:sz="8" w:space="0" w:color="86CADB" w:themeColor="accent1" w:themeTint="BF"/>
        <w:insideH w:val="single" w:sz="8" w:space="0" w:color="86CADB" w:themeColor="accent1" w:themeTint="BF"/>
        <w:insideV w:val="single" w:sz="8" w:space="0" w:color="86CADB" w:themeColor="accent1" w:themeTint="BF"/>
      </w:tblBorders>
    </w:tblPr>
    <w:tcPr>
      <w:shd w:val="clear" w:color="auto" w:fill="D7EDF3" w:themeFill="accent1" w:themeFillTint="3F"/>
    </w:tcPr>
    <w:tblStylePr w:type="firstRow">
      <w:rPr>
        <w:b/>
        <w:bCs/>
      </w:rPr>
    </w:tblStylePr>
    <w:tblStylePr w:type="lastRow">
      <w:rPr>
        <w:b/>
        <w:bCs/>
      </w:rPr>
      <w:tblPr/>
      <w:tcPr>
        <w:tcBorders>
          <w:top w:val="single" w:sz="18" w:space="0" w:color="86CADB" w:themeColor="accent1" w:themeTint="BF"/>
        </w:tcBorders>
      </w:tcPr>
    </w:tblStylePr>
    <w:tblStylePr w:type="firstCol">
      <w:rPr>
        <w:b/>
        <w:bCs/>
      </w:rPr>
    </w:tblStylePr>
    <w:tblStylePr w:type="lastCol">
      <w:rPr>
        <w:b/>
        <w:bCs/>
      </w:rPr>
    </w:tblStylePr>
    <w:tblStylePr w:type="band1Vert">
      <w:tblPr/>
      <w:tcPr>
        <w:shd w:val="clear" w:color="auto" w:fill="AEDCE7" w:themeFill="accent1" w:themeFillTint="7F"/>
      </w:tcPr>
    </w:tblStylePr>
    <w:tblStylePr w:type="band1Horz">
      <w:tblPr/>
      <w:tcPr>
        <w:shd w:val="clear" w:color="auto" w:fill="AEDCE7" w:themeFill="accent1" w:themeFillTint="7F"/>
      </w:tcPr>
    </w:tblStylePr>
  </w:style>
  <w:style w:type="table" w:styleId="MittleresRaster1-Akzent2">
    <w:name w:val="Medium Grid 1 Accent 2"/>
    <w:basedOn w:val="NormaleTabelle"/>
    <w:uiPriority w:val="67"/>
    <w:semiHidden/>
    <w:unhideWhenUsed/>
    <w:rsid w:val="001835F7"/>
    <w:tblPr>
      <w:tblStyleRowBandSize w:val="1"/>
      <w:tblStyleColBandSize w:val="1"/>
      <w:tblBorders>
        <w:top w:val="single" w:sz="8" w:space="0" w:color="BDBDBD" w:themeColor="accent2" w:themeTint="BF"/>
        <w:left w:val="single" w:sz="8" w:space="0" w:color="BDBDBD" w:themeColor="accent2" w:themeTint="BF"/>
        <w:bottom w:val="single" w:sz="8" w:space="0" w:color="BDBDBD" w:themeColor="accent2" w:themeTint="BF"/>
        <w:right w:val="single" w:sz="8" w:space="0" w:color="BDBDBD" w:themeColor="accent2" w:themeTint="BF"/>
        <w:insideH w:val="single" w:sz="8" w:space="0" w:color="BDBDBD" w:themeColor="accent2" w:themeTint="BF"/>
        <w:insideV w:val="single" w:sz="8" w:space="0" w:color="BDBDBD" w:themeColor="accent2" w:themeTint="BF"/>
      </w:tblBorders>
    </w:tblPr>
    <w:tcPr>
      <w:shd w:val="clear" w:color="auto" w:fill="E9E9E9" w:themeFill="accent2" w:themeFillTint="3F"/>
    </w:tcPr>
    <w:tblStylePr w:type="firstRow">
      <w:rPr>
        <w:b/>
        <w:bCs/>
      </w:rPr>
    </w:tblStylePr>
    <w:tblStylePr w:type="lastRow">
      <w:rPr>
        <w:b/>
        <w:bCs/>
      </w:rPr>
      <w:tblPr/>
      <w:tcPr>
        <w:tcBorders>
          <w:top w:val="single" w:sz="18" w:space="0" w:color="BDBDBD" w:themeColor="accent2" w:themeTint="BF"/>
        </w:tcBorders>
      </w:tcPr>
    </w:tblStylePr>
    <w:tblStylePr w:type="firstCol">
      <w:rPr>
        <w:b/>
        <w:bCs/>
      </w:rPr>
    </w:tblStylePr>
    <w:tblStylePr w:type="lastCol">
      <w:rPr>
        <w:b/>
        <w:bCs/>
      </w:rPr>
    </w:tblStylePr>
    <w:tblStylePr w:type="band1Vert">
      <w:tblPr/>
      <w:tcPr>
        <w:shd w:val="clear" w:color="auto" w:fill="D3D3D3" w:themeFill="accent2" w:themeFillTint="7F"/>
      </w:tcPr>
    </w:tblStylePr>
    <w:tblStylePr w:type="band1Horz">
      <w:tblPr/>
      <w:tcPr>
        <w:shd w:val="clear" w:color="auto" w:fill="D3D3D3" w:themeFill="accent2" w:themeFillTint="7F"/>
      </w:tcPr>
    </w:tblStylePr>
  </w:style>
  <w:style w:type="table" w:styleId="MittleresRaster1-Akzent3">
    <w:name w:val="Medium Grid 1 Accent 3"/>
    <w:basedOn w:val="NormaleTabelle"/>
    <w:uiPriority w:val="67"/>
    <w:semiHidden/>
    <w:unhideWhenUsed/>
    <w:rsid w:val="001835F7"/>
    <w:tblPr>
      <w:tblStyleRowBandSize w:val="1"/>
      <w:tblStyleColBandSize w:val="1"/>
      <w:tblBorders>
        <w:top w:val="single" w:sz="8" w:space="0" w:color="97C6B5" w:themeColor="accent3" w:themeTint="BF"/>
        <w:left w:val="single" w:sz="8" w:space="0" w:color="97C6B5" w:themeColor="accent3" w:themeTint="BF"/>
        <w:bottom w:val="single" w:sz="8" w:space="0" w:color="97C6B5" w:themeColor="accent3" w:themeTint="BF"/>
        <w:right w:val="single" w:sz="8" w:space="0" w:color="97C6B5" w:themeColor="accent3" w:themeTint="BF"/>
        <w:insideH w:val="single" w:sz="8" w:space="0" w:color="97C6B5" w:themeColor="accent3" w:themeTint="BF"/>
        <w:insideV w:val="single" w:sz="8" w:space="0" w:color="97C6B5" w:themeColor="accent3" w:themeTint="BF"/>
      </w:tblBorders>
    </w:tblPr>
    <w:tcPr>
      <w:shd w:val="clear" w:color="auto" w:fill="DCECE6" w:themeFill="accent3" w:themeFillTint="3F"/>
    </w:tcPr>
    <w:tblStylePr w:type="firstRow">
      <w:rPr>
        <w:b/>
        <w:bCs/>
      </w:rPr>
    </w:tblStylePr>
    <w:tblStylePr w:type="lastRow">
      <w:rPr>
        <w:b/>
        <w:bCs/>
      </w:rPr>
      <w:tblPr/>
      <w:tcPr>
        <w:tcBorders>
          <w:top w:val="single" w:sz="18" w:space="0" w:color="97C6B5" w:themeColor="accent3" w:themeTint="BF"/>
        </w:tcBorders>
      </w:tcPr>
    </w:tblStylePr>
    <w:tblStylePr w:type="firstCol">
      <w:rPr>
        <w:b/>
        <w:bCs/>
      </w:rPr>
    </w:tblStylePr>
    <w:tblStylePr w:type="lastCol">
      <w:rPr>
        <w:b/>
        <w:bCs/>
      </w:rPr>
    </w:tblStylePr>
    <w:tblStylePr w:type="band1Vert">
      <w:tblPr/>
      <w:tcPr>
        <w:shd w:val="clear" w:color="auto" w:fill="BAD9CE" w:themeFill="accent3" w:themeFillTint="7F"/>
      </w:tcPr>
    </w:tblStylePr>
    <w:tblStylePr w:type="band1Horz">
      <w:tblPr/>
      <w:tcPr>
        <w:shd w:val="clear" w:color="auto" w:fill="BAD9CE" w:themeFill="accent3" w:themeFillTint="7F"/>
      </w:tcPr>
    </w:tblStylePr>
  </w:style>
  <w:style w:type="table" w:styleId="MittleresRaster1-Akzent4">
    <w:name w:val="Medium Grid 1 Accent 4"/>
    <w:basedOn w:val="NormaleTabelle"/>
    <w:uiPriority w:val="67"/>
    <w:semiHidden/>
    <w:unhideWhenUsed/>
    <w:rsid w:val="001835F7"/>
    <w:tblPr>
      <w:tblStyleRowBandSize w:val="1"/>
      <w:tblStyleColBandSize w:val="1"/>
      <w:tblBorders>
        <w:top w:val="single" w:sz="8" w:space="0" w:color="D12944" w:themeColor="accent4" w:themeTint="BF"/>
        <w:left w:val="single" w:sz="8" w:space="0" w:color="D12944" w:themeColor="accent4" w:themeTint="BF"/>
        <w:bottom w:val="single" w:sz="8" w:space="0" w:color="D12944" w:themeColor="accent4" w:themeTint="BF"/>
        <w:right w:val="single" w:sz="8" w:space="0" w:color="D12944" w:themeColor="accent4" w:themeTint="BF"/>
        <w:insideH w:val="single" w:sz="8" w:space="0" w:color="D12944" w:themeColor="accent4" w:themeTint="BF"/>
        <w:insideV w:val="single" w:sz="8" w:space="0" w:color="D12944" w:themeColor="accent4" w:themeTint="BF"/>
      </w:tblBorders>
    </w:tblPr>
    <w:tcPr>
      <w:shd w:val="clear" w:color="auto" w:fill="F1B7C0" w:themeFill="accent4" w:themeFillTint="3F"/>
    </w:tcPr>
    <w:tblStylePr w:type="firstRow">
      <w:rPr>
        <w:b/>
        <w:bCs/>
      </w:rPr>
    </w:tblStylePr>
    <w:tblStylePr w:type="lastRow">
      <w:rPr>
        <w:b/>
        <w:bCs/>
      </w:rPr>
      <w:tblPr/>
      <w:tcPr>
        <w:tcBorders>
          <w:top w:val="single" w:sz="18" w:space="0" w:color="D12944" w:themeColor="accent4" w:themeTint="BF"/>
        </w:tcBorders>
      </w:tcPr>
    </w:tblStylePr>
    <w:tblStylePr w:type="firstCol">
      <w:rPr>
        <w:b/>
        <w:bCs/>
      </w:rPr>
    </w:tblStylePr>
    <w:tblStylePr w:type="lastCol">
      <w:rPr>
        <w:b/>
        <w:bCs/>
      </w:rPr>
    </w:tblStylePr>
    <w:tblStylePr w:type="band1Vert">
      <w:tblPr/>
      <w:tcPr>
        <w:shd w:val="clear" w:color="auto" w:fill="E26F81" w:themeFill="accent4" w:themeFillTint="7F"/>
      </w:tcPr>
    </w:tblStylePr>
    <w:tblStylePr w:type="band1Horz">
      <w:tblPr/>
      <w:tcPr>
        <w:shd w:val="clear" w:color="auto" w:fill="E26F81" w:themeFill="accent4" w:themeFillTint="7F"/>
      </w:tcPr>
    </w:tblStylePr>
  </w:style>
  <w:style w:type="table" w:styleId="MittleresRaster1-Akzent5">
    <w:name w:val="Medium Grid 1 Accent 5"/>
    <w:basedOn w:val="NormaleTabelle"/>
    <w:uiPriority w:val="67"/>
    <w:semiHidden/>
    <w:unhideWhenUsed/>
    <w:rsid w:val="001835F7"/>
    <w:tblPr>
      <w:tblStyleRowBandSize w:val="1"/>
      <w:tblStyleColBandSize w:val="1"/>
      <w:tblBorders>
        <w:top w:val="single" w:sz="8" w:space="0" w:color="9CA63D" w:themeColor="accent5" w:themeTint="BF"/>
        <w:left w:val="single" w:sz="8" w:space="0" w:color="9CA63D" w:themeColor="accent5" w:themeTint="BF"/>
        <w:bottom w:val="single" w:sz="8" w:space="0" w:color="9CA63D" w:themeColor="accent5" w:themeTint="BF"/>
        <w:right w:val="single" w:sz="8" w:space="0" w:color="9CA63D" w:themeColor="accent5" w:themeTint="BF"/>
        <w:insideH w:val="single" w:sz="8" w:space="0" w:color="9CA63D" w:themeColor="accent5" w:themeTint="BF"/>
        <w:insideV w:val="single" w:sz="8" w:space="0" w:color="9CA63D" w:themeColor="accent5" w:themeTint="BF"/>
      </w:tblBorders>
    </w:tblPr>
    <w:tcPr>
      <w:shd w:val="clear" w:color="auto" w:fill="E1E6BB" w:themeFill="accent5" w:themeFillTint="3F"/>
    </w:tcPr>
    <w:tblStylePr w:type="firstRow">
      <w:rPr>
        <w:b/>
        <w:bCs/>
      </w:rPr>
    </w:tblStylePr>
    <w:tblStylePr w:type="lastRow">
      <w:rPr>
        <w:b/>
        <w:bCs/>
      </w:rPr>
      <w:tblPr/>
      <w:tcPr>
        <w:tcBorders>
          <w:top w:val="single" w:sz="18" w:space="0" w:color="9CA63D" w:themeColor="accent5" w:themeTint="BF"/>
        </w:tcBorders>
      </w:tcPr>
    </w:tblStylePr>
    <w:tblStylePr w:type="firstCol">
      <w:rPr>
        <w:b/>
        <w:bCs/>
      </w:rPr>
    </w:tblStylePr>
    <w:tblStylePr w:type="lastCol">
      <w:rPr>
        <w:b/>
        <w:bCs/>
      </w:rPr>
    </w:tblStylePr>
    <w:tblStylePr w:type="band1Vert">
      <w:tblPr/>
      <w:tcPr>
        <w:shd w:val="clear" w:color="auto" w:fill="C4CC76" w:themeFill="accent5" w:themeFillTint="7F"/>
      </w:tcPr>
    </w:tblStylePr>
    <w:tblStylePr w:type="band1Horz">
      <w:tblPr/>
      <w:tcPr>
        <w:shd w:val="clear" w:color="auto" w:fill="C4CC76" w:themeFill="accent5" w:themeFillTint="7F"/>
      </w:tcPr>
    </w:tblStylePr>
  </w:style>
  <w:style w:type="table" w:styleId="MittleresRaster1-Akzent6">
    <w:name w:val="Medium Grid 1 Accent 6"/>
    <w:basedOn w:val="NormaleTabelle"/>
    <w:uiPriority w:val="67"/>
    <w:semiHidden/>
    <w:unhideWhenUsed/>
    <w:rsid w:val="001835F7"/>
    <w:tblPr>
      <w:tblStyleRowBandSize w:val="1"/>
      <w:tblStyleColBandSize w:val="1"/>
      <w:tblBorders>
        <w:top w:val="single" w:sz="8" w:space="0" w:color="21C092" w:themeColor="accent6" w:themeTint="BF"/>
        <w:left w:val="single" w:sz="8" w:space="0" w:color="21C092" w:themeColor="accent6" w:themeTint="BF"/>
        <w:bottom w:val="single" w:sz="8" w:space="0" w:color="21C092" w:themeColor="accent6" w:themeTint="BF"/>
        <w:right w:val="single" w:sz="8" w:space="0" w:color="21C092" w:themeColor="accent6" w:themeTint="BF"/>
        <w:insideH w:val="single" w:sz="8" w:space="0" w:color="21C092" w:themeColor="accent6" w:themeTint="BF"/>
        <w:insideV w:val="single" w:sz="8" w:space="0" w:color="21C092" w:themeColor="accent6" w:themeTint="BF"/>
      </w:tblBorders>
    </w:tblPr>
    <w:tcPr>
      <w:shd w:val="clear" w:color="auto" w:fill="AEF1DE" w:themeFill="accent6" w:themeFillTint="3F"/>
    </w:tcPr>
    <w:tblStylePr w:type="firstRow">
      <w:rPr>
        <w:b/>
        <w:bCs/>
      </w:rPr>
    </w:tblStylePr>
    <w:tblStylePr w:type="lastRow">
      <w:rPr>
        <w:b/>
        <w:bCs/>
      </w:rPr>
      <w:tblPr/>
      <w:tcPr>
        <w:tcBorders>
          <w:top w:val="single" w:sz="18" w:space="0" w:color="21C092" w:themeColor="accent6" w:themeTint="BF"/>
        </w:tcBorders>
      </w:tcPr>
    </w:tblStylePr>
    <w:tblStylePr w:type="firstCol">
      <w:rPr>
        <w:b/>
        <w:bCs/>
      </w:rPr>
    </w:tblStylePr>
    <w:tblStylePr w:type="lastCol">
      <w:rPr>
        <w:b/>
        <w:bCs/>
      </w:rPr>
    </w:tblStylePr>
    <w:tblStylePr w:type="band1Vert">
      <w:tblPr/>
      <w:tcPr>
        <w:shd w:val="clear" w:color="auto" w:fill="5DE3BC" w:themeFill="accent6" w:themeFillTint="7F"/>
      </w:tcPr>
    </w:tblStylePr>
    <w:tblStylePr w:type="band1Horz">
      <w:tblPr/>
      <w:tcPr>
        <w:shd w:val="clear" w:color="auto" w:fill="5DE3BC" w:themeFill="accent6" w:themeFillTint="7F"/>
      </w:tcPr>
    </w:tblStylePr>
  </w:style>
  <w:style w:type="table" w:styleId="MittleresRaster2">
    <w:name w:val="Medium Grid 2"/>
    <w:basedOn w:val="NormaleTabelle"/>
    <w:uiPriority w:val="68"/>
    <w:semiHidden/>
    <w:unhideWhenUsed/>
    <w:rsid w:val="001835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1835F7"/>
    <w:rPr>
      <w:rFonts w:asciiTheme="majorHAnsi" w:eastAsiaTheme="majorEastAsia" w:hAnsiTheme="majorHAnsi" w:cstheme="majorBidi"/>
      <w:color w:val="000000" w:themeColor="text1"/>
    </w:rPr>
    <w:tblPr>
      <w:tblStyleRowBandSize w:val="1"/>
      <w:tblStyleColBandSize w:val="1"/>
      <w:tblBorders>
        <w:top w:val="single" w:sz="8" w:space="0" w:color="5EB9CF" w:themeColor="accent1"/>
        <w:left w:val="single" w:sz="8" w:space="0" w:color="5EB9CF" w:themeColor="accent1"/>
        <w:bottom w:val="single" w:sz="8" w:space="0" w:color="5EB9CF" w:themeColor="accent1"/>
        <w:right w:val="single" w:sz="8" w:space="0" w:color="5EB9CF" w:themeColor="accent1"/>
        <w:insideH w:val="single" w:sz="8" w:space="0" w:color="5EB9CF" w:themeColor="accent1"/>
        <w:insideV w:val="single" w:sz="8" w:space="0" w:color="5EB9CF" w:themeColor="accent1"/>
      </w:tblBorders>
    </w:tblPr>
    <w:tcPr>
      <w:shd w:val="clear" w:color="auto" w:fill="D7EDF3" w:themeFill="accent1" w:themeFillTint="3F"/>
    </w:tcPr>
    <w:tblStylePr w:type="firstRow">
      <w:rPr>
        <w:b/>
        <w:bCs/>
        <w:color w:val="000000" w:themeColor="text1"/>
      </w:rPr>
      <w:tblPr/>
      <w:tcPr>
        <w:shd w:val="clear" w:color="auto" w:fill="EFF8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F5" w:themeFill="accent1" w:themeFillTint="33"/>
      </w:tcPr>
    </w:tblStylePr>
    <w:tblStylePr w:type="band1Vert">
      <w:tblPr/>
      <w:tcPr>
        <w:shd w:val="clear" w:color="auto" w:fill="AEDCE7" w:themeFill="accent1" w:themeFillTint="7F"/>
      </w:tcPr>
    </w:tblStylePr>
    <w:tblStylePr w:type="band1Horz">
      <w:tblPr/>
      <w:tcPr>
        <w:tcBorders>
          <w:insideH w:val="single" w:sz="6" w:space="0" w:color="5EB9CF" w:themeColor="accent1"/>
          <w:insideV w:val="single" w:sz="6" w:space="0" w:color="5EB9CF" w:themeColor="accent1"/>
        </w:tcBorders>
        <w:shd w:val="clear" w:color="auto" w:fill="AEDCE7"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1835F7"/>
    <w:rPr>
      <w:rFonts w:asciiTheme="majorHAnsi" w:eastAsiaTheme="majorEastAsia" w:hAnsiTheme="majorHAnsi" w:cstheme="majorBidi"/>
      <w:color w:val="000000" w:themeColor="text1"/>
    </w:rPr>
    <w:tblPr>
      <w:tblStyleRowBandSize w:val="1"/>
      <w:tblStyleColBandSize w:val="1"/>
      <w:tblBorders>
        <w:top w:val="single" w:sz="8" w:space="0" w:color="A8A8A8" w:themeColor="accent2"/>
        <w:left w:val="single" w:sz="8" w:space="0" w:color="A8A8A8" w:themeColor="accent2"/>
        <w:bottom w:val="single" w:sz="8" w:space="0" w:color="A8A8A8" w:themeColor="accent2"/>
        <w:right w:val="single" w:sz="8" w:space="0" w:color="A8A8A8" w:themeColor="accent2"/>
        <w:insideH w:val="single" w:sz="8" w:space="0" w:color="A8A8A8" w:themeColor="accent2"/>
        <w:insideV w:val="single" w:sz="8" w:space="0" w:color="A8A8A8" w:themeColor="accent2"/>
      </w:tblBorders>
    </w:tblPr>
    <w:tcPr>
      <w:shd w:val="clear" w:color="auto" w:fill="E9E9E9" w:themeFill="accent2" w:themeFillTint="3F"/>
    </w:tcPr>
    <w:tblStylePr w:type="firstRow">
      <w:rPr>
        <w:b/>
        <w:bCs/>
        <w:color w:val="000000" w:themeColor="text1"/>
      </w:rPr>
      <w:tblPr/>
      <w:tcPr>
        <w:shd w:val="clear" w:color="auto" w:fill="F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2" w:themeFillTint="33"/>
      </w:tcPr>
    </w:tblStylePr>
    <w:tblStylePr w:type="band1Vert">
      <w:tblPr/>
      <w:tcPr>
        <w:shd w:val="clear" w:color="auto" w:fill="D3D3D3" w:themeFill="accent2" w:themeFillTint="7F"/>
      </w:tcPr>
    </w:tblStylePr>
    <w:tblStylePr w:type="band1Horz">
      <w:tblPr/>
      <w:tcPr>
        <w:tcBorders>
          <w:insideH w:val="single" w:sz="6" w:space="0" w:color="A8A8A8" w:themeColor="accent2"/>
          <w:insideV w:val="single" w:sz="6" w:space="0" w:color="A8A8A8" w:themeColor="accent2"/>
        </w:tcBorders>
        <w:shd w:val="clear" w:color="auto" w:fill="D3D3D3"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1835F7"/>
    <w:rPr>
      <w:rFonts w:asciiTheme="majorHAnsi" w:eastAsiaTheme="majorEastAsia" w:hAnsiTheme="majorHAnsi" w:cstheme="majorBidi"/>
      <w:color w:val="000000" w:themeColor="text1"/>
    </w:rPr>
    <w:tblPr>
      <w:tblStyleRowBandSize w:val="1"/>
      <w:tblStyleColBandSize w:val="1"/>
      <w:tblBorders>
        <w:top w:val="single" w:sz="8" w:space="0" w:color="75B39D" w:themeColor="accent3"/>
        <w:left w:val="single" w:sz="8" w:space="0" w:color="75B39D" w:themeColor="accent3"/>
        <w:bottom w:val="single" w:sz="8" w:space="0" w:color="75B39D" w:themeColor="accent3"/>
        <w:right w:val="single" w:sz="8" w:space="0" w:color="75B39D" w:themeColor="accent3"/>
        <w:insideH w:val="single" w:sz="8" w:space="0" w:color="75B39D" w:themeColor="accent3"/>
        <w:insideV w:val="single" w:sz="8" w:space="0" w:color="75B39D" w:themeColor="accent3"/>
      </w:tblBorders>
    </w:tblPr>
    <w:tcPr>
      <w:shd w:val="clear" w:color="auto" w:fill="DCECE6" w:themeFill="accent3" w:themeFillTint="3F"/>
    </w:tcPr>
    <w:tblStylePr w:type="firstRow">
      <w:rPr>
        <w:b/>
        <w:bCs/>
        <w:color w:val="000000" w:themeColor="text1"/>
      </w:rPr>
      <w:tblPr/>
      <w:tcPr>
        <w:shd w:val="clear" w:color="auto" w:fill="F1F7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FEB" w:themeFill="accent3" w:themeFillTint="33"/>
      </w:tcPr>
    </w:tblStylePr>
    <w:tblStylePr w:type="band1Vert">
      <w:tblPr/>
      <w:tcPr>
        <w:shd w:val="clear" w:color="auto" w:fill="BAD9CE" w:themeFill="accent3" w:themeFillTint="7F"/>
      </w:tcPr>
    </w:tblStylePr>
    <w:tblStylePr w:type="band1Horz">
      <w:tblPr/>
      <w:tcPr>
        <w:tcBorders>
          <w:insideH w:val="single" w:sz="6" w:space="0" w:color="75B39D" w:themeColor="accent3"/>
          <w:insideV w:val="single" w:sz="6" w:space="0" w:color="75B39D" w:themeColor="accent3"/>
        </w:tcBorders>
        <w:shd w:val="clear" w:color="auto" w:fill="BAD9CE"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1835F7"/>
    <w:rPr>
      <w:rFonts w:asciiTheme="majorHAnsi" w:eastAsiaTheme="majorEastAsia" w:hAnsiTheme="majorHAnsi" w:cstheme="majorBidi"/>
      <w:color w:val="000000" w:themeColor="text1"/>
    </w:rPr>
    <w:tblPr>
      <w:tblStyleRowBandSize w:val="1"/>
      <w:tblStyleColBandSize w:val="1"/>
      <w:tblBorders>
        <w:top w:val="single" w:sz="8" w:space="0" w:color="891B2D" w:themeColor="accent4"/>
        <w:left w:val="single" w:sz="8" w:space="0" w:color="891B2D" w:themeColor="accent4"/>
        <w:bottom w:val="single" w:sz="8" w:space="0" w:color="891B2D" w:themeColor="accent4"/>
        <w:right w:val="single" w:sz="8" w:space="0" w:color="891B2D" w:themeColor="accent4"/>
        <w:insideH w:val="single" w:sz="8" w:space="0" w:color="891B2D" w:themeColor="accent4"/>
        <w:insideV w:val="single" w:sz="8" w:space="0" w:color="891B2D" w:themeColor="accent4"/>
      </w:tblBorders>
    </w:tblPr>
    <w:tcPr>
      <w:shd w:val="clear" w:color="auto" w:fill="F1B7C0" w:themeFill="accent4" w:themeFillTint="3F"/>
    </w:tcPr>
    <w:tblStylePr w:type="firstRow">
      <w:rPr>
        <w:b/>
        <w:bCs/>
        <w:color w:val="000000" w:themeColor="text1"/>
      </w:rPr>
      <w:tblPr/>
      <w:tcPr>
        <w:shd w:val="clear" w:color="auto" w:fill="F9E2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C5CC" w:themeFill="accent4" w:themeFillTint="33"/>
      </w:tcPr>
    </w:tblStylePr>
    <w:tblStylePr w:type="band1Vert">
      <w:tblPr/>
      <w:tcPr>
        <w:shd w:val="clear" w:color="auto" w:fill="E26F81" w:themeFill="accent4" w:themeFillTint="7F"/>
      </w:tcPr>
    </w:tblStylePr>
    <w:tblStylePr w:type="band1Horz">
      <w:tblPr/>
      <w:tcPr>
        <w:tcBorders>
          <w:insideH w:val="single" w:sz="6" w:space="0" w:color="891B2D" w:themeColor="accent4"/>
          <w:insideV w:val="single" w:sz="6" w:space="0" w:color="891B2D" w:themeColor="accent4"/>
        </w:tcBorders>
        <w:shd w:val="clear" w:color="auto" w:fill="E26F81"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1835F7"/>
    <w:rPr>
      <w:rFonts w:asciiTheme="majorHAnsi" w:eastAsiaTheme="majorEastAsia" w:hAnsiTheme="majorHAnsi" w:cstheme="majorBidi"/>
      <w:color w:val="000000" w:themeColor="text1"/>
    </w:rPr>
    <w:tblPr>
      <w:tblStyleRowBandSize w:val="1"/>
      <w:tblStyleColBandSize w:val="1"/>
      <w:tblBorders>
        <w:top w:val="single" w:sz="8" w:space="0" w:color="5C6224" w:themeColor="accent5"/>
        <w:left w:val="single" w:sz="8" w:space="0" w:color="5C6224" w:themeColor="accent5"/>
        <w:bottom w:val="single" w:sz="8" w:space="0" w:color="5C6224" w:themeColor="accent5"/>
        <w:right w:val="single" w:sz="8" w:space="0" w:color="5C6224" w:themeColor="accent5"/>
        <w:insideH w:val="single" w:sz="8" w:space="0" w:color="5C6224" w:themeColor="accent5"/>
        <w:insideV w:val="single" w:sz="8" w:space="0" w:color="5C6224" w:themeColor="accent5"/>
      </w:tblBorders>
    </w:tblPr>
    <w:tcPr>
      <w:shd w:val="clear" w:color="auto" w:fill="E1E6BB" w:themeFill="accent5" w:themeFillTint="3F"/>
    </w:tcPr>
    <w:tblStylePr w:type="firstRow">
      <w:rPr>
        <w:b/>
        <w:bCs/>
        <w:color w:val="000000" w:themeColor="text1"/>
      </w:rPr>
      <w:tblPr/>
      <w:tcPr>
        <w:shd w:val="clear" w:color="auto" w:fill="F3F5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AC7" w:themeFill="accent5" w:themeFillTint="33"/>
      </w:tcPr>
    </w:tblStylePr>
    <w:tblStylePr w:type="band1Vert">
      <w:tblPr/>
      <w:tcPr>
        <w:shd w:val="clear" w:color="auto" w:fill="C4CC76" w:themeFill="accent5" w:themeFillTint="7F"/>
      </w:tcPr>
    </w:tblStylePr>
    <w:tblStylePr w:type="band1Horz">
      <w:tblPr/>
      <w:tcPr>
        <w:tcBorders>
          <w:insideH w:val="single" w:sz="6" w:space="0" w:color="5C6224" w:themeColor="accent5"/>
          <w:insideV w:val="single" w:sz="6" w:space="0" w:color="5C6224" w:themeColor="accent5"/>
        </w:tcBorders>
        <w:shd w:val="clear" w:color="auto" w:fill="C4CC76"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1835F7"/>
    <w:rPr>
      <w:rFonts w:asciiTheme="majorHAnsi" w:eastAsiaTheme="majorEastAsia" w:hAnsiTheme="majorHAnsi" w:cstheme="majorBidi"/>
      <w:color w:val="000000" w:themeColor="text1"/>
    </w:rPr>
    <w:tblPr>
      <w:tblStyleRowBandSize w:val="1"/>
      <w:tblStyleColBandSize w:val="1"/>
      <w:tblBorders>
        <w:top w:val="single" w:sz="8" w:space="0" w:color="136F55" w:themeColor="accent6"/>
        <w:left w:val="single" w:sz="8" w:space="0" w:color="136F55" w:themeColor="accent6"/>
        <w:bottom w:val="single" w:sz="8" w:space="0" w:color="136F55" w:themeColor="accent6"/>
        <w:right w:val="single" w:sz="8" w:space="0" w:color="136F55" w:themeColor="accent6"/>
        <w:insideH w:val="single" w:sz="8" w:space="0" w:color="136F55" w:themeColor="accent6"/>
        <w:insideV w:val="single" w:sz="8" w:space="0" w:color="136F55" w:themeColor="accent6"/>
      </w:tblBorders>
    </w:tblPr>
    <w:tcPr>
      <w:shd w:val="clear" w:color="auto" w:fill="AEF1DE" w:themeFill="accent6" w:themeFillTint="3F"/>
    </w:tcPr>
    <w:tblStylePr w:type="firstRow">
      <w:rPr>
        <w:b/>
        <w:bCs/>
        <w:color w:val="000000" w:themeColor="text1"/>
      </w:rPr>
      <w:tblPr/>
      <w:tcPr>
        <w:shd w:val="clear" w:color="auto" w:fill="DFF9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4E4" w:themeFill="accent6" w:themeFillTint="33"/>
      </w:tcPr>
    </w:tblStylePr>
    <w:tblStylePr w:type="band1Vert">
      <w:tblPr/>
      <w:tcPr>
        <w:shd w:val="clear" w:color="auto" w:fill="5DE3BC" w:themeFill="accent6" w:themeFillTint="7F"/>
      </w:tcPr>
    </w:tblStylePr>
    <w:tblStylePr w:type="band1Horz">
      <w:tblPr/>
      <w:tcPr>
        <w:tcBorders>
          <w:insideH w:val="single" w:sz="6" w:space="0" w:color="136F55" w:themeColor="accent6"/>
          <w:insideV w:val="single" w:sz="6" w:space="0" w:color="136F55" w:themeColor="accent6"/>
        </w:tcBorders>
        <w:shd w:val="clear" w:color="auto" w:fill="5DE3BC"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1835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1835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DF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EB9C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EB9C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EB9C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EB9C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DCE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DCE7" w:themeFill="accent1" w:themeFillTint="7F"/>
      </w:tcPr>
    </w:tblStylePr>
  </w:style>
  <w:style w:type="table" w:styleId="MittleresRaster3-Akzent2">
    <w:name w:val="Medium Grid 3 Accent 2"/>
    <w:basedOn w:val="NormaleTabelle"/>
    <w:uiPriority w:val="69"/>
    <w:semiHidden/>
    <w:unhideWhenUsed/>
    <w:rsid w:val="001835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8A8A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8A8A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8A8A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8A8A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D3D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D3D3" w:themeFill="accent2" w:themeFillTint="7F"/>
      </w:tcPr>
    </w:tblStylePr>
  </w:style>
  <w:style w:type="table" w:styleId="MittleresRaster3-Akzent3">
    <w:name w:val="Medium Grid 3 Accent 3"/>
    <w:basedOn w:val="NormaleTabelle"/>
    <w:uiPriority w:val="69"/>
    <w:semiHidden/>
    <w:unhideWhenUsed/>
    <w:rsid w:val="001835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C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39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39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39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39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9C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9CE" w:themeFill="accent3" w:themeFillTint="7F"/>
      </w:tcPr>
    </w:tblStylePr>
  </w:style>
  <w:style w:type="table" w:styleId="MittleresRaster3-Akzent4">
    <w:name w:val="Medium Grid 3 Accent 4"/>
    <w:basedOn w:val="NormaleTabelle"/>
    <w:uiPriority w:val="69"/>
    <w:semiHidden/>
    <w:unhideWhenUsed/>
    <w:rsid w:val="001835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B7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1B2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1B2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1B2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1B2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6F8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6F81" w:themeFill="accent4" w:themeFillTint="7F"/>
      </w:tcPr>
    </w:tblStylePr>
  </w:style>
  <w:style w:type="table" w:styleId="MittleresRaster3-Akzent5">
    <w:name w:val="Medium Grid 3 Accent 5"/>
    <w:basedOn w:val="NormaleTabelle"/>
    <w:uiPriority w:val="69"/>
    <w:semiHidden/>
    <w:unhideWhenUsed/>
    <w:rsid w:val="001835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B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622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622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622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622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CC7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CC76" w:themeFill="accent5" w:themeFillTint="7F"/>
      </w:tcPr>
    </w:tblStylePr>
  </w:style>
  <w:style w:type="table" w:styleId="MittleresRaster3-Akzent6">
    <w:name w:val="Medium Grid 3 Accent 6"/>
    <w:basedOn w:val="NormaleTabelle"/>
    <w:uiPriority w:val="69"/>
    <w:semiHidden/>
    <w:unhideWhenUsed/>
    <w:rsid w:val="001835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1D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36F5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36F5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36F5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36F5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E3B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E3BC" w:themeFill="accent6" w:themeFillTint="7F"/>
      </w:tcPr>
    </w:tblStylePr>
  </w:style>
  <w:style w:type="table" w:styleId="MittlereListe1">
    <w:name w:val="Medium List 1"/>
    <w:basedOn w:val="NormaleTabelle"/>
    <w:uiPriority w:val="65"/>
    <w:semiHidden/>
    <w:unhideWhenUsed/>
    <w:rsid w:val="001835F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1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1835F7"/>
    <w:rPr>
      <w:color w:val="000000" w:themeColor="text1"/>
    </w:rPr>
    <w:tblPr>
      <w:tblStyleRowBandSize w:val="1"/>
      <w:tblStyleColBandSize w:val="1"/>
      <w:tblBorders>
        <w:top w:val="single" w:sz="8" w:space="0" w:color="5EB9CF" w:themeColor="accent1"/>
        <w:bottom w:val="single" w:sz="8" w:space="0" w:color="5EB9CF" w:themeColor="accent1"/>
      </w:tblBorders>
    </w:tblPr>
    <w:tblStylePr w:type="firstRow">
      <w:rPr>
        <w:rFonts w:asciiTheme="majorHAnsi" w:eastAsiaTheme="majorEastAsia" w:hAnsiTheme="majorHAnsi" w:cstheme="majorBidi"/>
      </w:rPr>
      <w:tblPr/>
      <w:tcPr>
        <w:tcBorders>
          <w:top w:val="nil"/>
          <w:bottom w:val="single" w:sz="8" w:space="0" w:color="5EB9CF" w:themeColor="accent1"/>
        </w:tcBorders>
      </w:tcPr>
    </w:tblStylePr>
    <w:tblStylePr w:type="lastRow">
      <w:rPr>
        <w:b/>
        <w:bCs/>
        <w:color w:val="003145" w:themeColor="text2"/>
      </w:rPr>
      <w:tblPr/>
      <w:tcPr>
        <w:tcBorders>
          <w:top w:val="single" w:sz="8" w:space="0" w:color="5EB9CF" w:themeColor="accent1"/>
          <w:bottom w:val="single" w:sz="8" w:space="0" w:color="5EB9CF" w:themeColor="accent1"/>
        </w:tcBorders>
      </w:tcPr>
    </w:tblStylePr>
    <w:tblStylePr w:type="firstCol">
      <w:rPr>
        <w:b/>
        <w:bCs/>
      </w:rPr>
    </w:tblStylePr>
    <w:tblStylePr w:type="lastCol">
      <w:rPr>
        <w:b/>
        <w:bCs/>
      </w:rPr>
      <w:tblPr/>
      <w:tcPr>
        <w:tcBorders>
          <w:top w:val="single" w:sz="8" w:space="0" w:color="5EB9CF" w:themeColor="accent1"/>
          <w:bottom w:val="single" w:sz="8" w:space="0" w:color="5EB9CF" w:themeColor="accent1"/>
        </w:tcBorders>
      </w:tcPr>
    </w:tblStylePr>
    <w:tblStylePr w:type="band1Vert">
      <w:tblPr/>
      <w:tcPr>
        <w:shd w:val="clear" w:color="auto" w:fill="D7EDF3" w:themeFill="accent1" w:themeFillTint="3F"/>
      </w:tcPr>
    </w:tblStylePr>
    <w:tblStylePr w:type="band1Horz">
      <w:tblPr/>
      <w:tcPr>
        <w:shd w:val="clear" w:color="auto" w:fill="D7EDF3" w:themeFill="accent1" w:themeFillTint="3F"/>
      </w:tcPr>
    </w:tblStylePr>
  </w:style>
  <w:style w:type="table" w:styleId="MittlereListe1-Akzent2">
    <w:name w:val="Medium List 1 Accent 2"/>
    <w:basedOn w:val="NormaleTabelle"/>
    <w:uiPriority w:val="65"/>
    <w:semiHidden/>
    <w:unhideWhenUsed/>
    <w:rsid w:val="001835F7"/>
    <w:rPr>
      <w:color w:val="000000" w:themeColor="text1"/>
    </w:rPr>
    <w:tblPr>
      <w:tblStyleRowBandSize w:val="1"/>
      <w:tblStyleColBandSize w:val="1"/>
      <w:tblBorders>
        <w:top w:val="single" w:sz="8" w:space="0" w:color="A8A8A8" w:themeColor="accent2"/>
        <w:bottom w:val="single" w:sz="8" w:space="0" w:color="A8A8A8" w:themeColor="accent2"/>
      </w:tblBorders>
    </w:tblPr>
    <w:tblStylePr w:type="firstRow">
      <w:rPr>
        <w:rFonts w:asciiTheme="majorHAnsi" w:eastAsiaTheme="majorEastAsia" w:hAnsiTheme="majorHAnsi" w:cstheme="majorBidi"/>
      </w:rPr>
      <w:tblPr/>
      <w:tcPr>
        <w:tcBorders>
          <w:top w:val="nil"/>
          <w:bottom w:val="single" w:sz="8" w:space="0" w:color="A8A8A8" w:themeColor="accent2"/>
        </w:tcBorders>
      </w:tcPr>
    </w:tblStylePr>
    <w:tblStylePr w:type="lastRow">
      <w:rPr>
        <w:b/>
        <w:bCs/>
        <w:color w:val="003145" w:themeColor="text2"/>
      </w:rPr>
      <w:tblPr/>
      <w:tcPr>
        <w:tcBorders>
          <w:top w:val="single" w:sz="8" w:space="0" w:color="A8A8A8" w:themeColor="accent2"/>
          <w:bottom w:val="single" w:sz="8" w:space="0" w:color="A8A8A8" w:themeColor="accent2"/>
        </w:tcBorders>
      </w:tcPr>
    </w:tblStylePr>
    <w:tblStylePr w:type="firstCol">
      <w:rPr>
        <w:b/>
        <w:bCs/>
      </w:rPr>
    </w:tblStylePr>
    <w:tblStylePr w:type="lastCol">
      <w:rPr>
        <w:b/>
        <w:bCs/>
      </w:rPr>
      <w:tblPr/>
      <w:tcPr>
        <w:tcBorders>
          <w:top w:val="single" w:sz="8" w:space="0" w:color="A8A8A8" w:themeColor="accent2"/>
          <w:bottom w:val="single" w:sz="8" w:space="0" w:color="A8A8A8" w:themeColor="accent2"/>
        </w:tcBorders>
      </w:tcPr>
    </w:tblStylePr>
    <w:tblStylePr w:type="band1Vert">
      <w:tblPr/>
      <w:tcPr>
        <w:shd w:val="clear" w:color="auto" w:fill="E9E9E9" w:themeFill="accent2" w:themeFillTint="3F"/>
      </w:tcPr>
    </w:tblStylePr>
    <w:tblStylePr w:type="band1Horz">
      <w:tblPr/>
      <w:tcPr>
        <w:shd w:val="clear" w:color="auto" w:fill="E9E9E9" w:themeFill="accent2" w:themeFillTint="3F"/>
      </w:tcPr>
    </w:tblStylePr>
  </w:style>
  <w:style w:type="table" w:styleId="MittlereListe1-Akzent3">
    <w:name w:val="Medium List 1 Accent 3"/>
    <w:basedOn w:val="NormaleTabelle"/>
    <w:uiPriority w:val="65"/>
    <w:semiHidden/>
    <w:unhideWhenUsed/>
    <w:rsid w:val="001835F7"/>
    <w:rPr>
      <w:color w:val="000000" w:themeColor="text1"/>
    </w:rPr>
    <w:tblPr>
      <w:tblStyleRowBandSize w:val="1"/>
      <w:tblStyleColBandSize w:val="1"/>
      <w:tblBorders>
        <w:top w:val="single" w:sz="8" w:space="0" w:color="75B39D" w:themeColor="accent3"/>
        <w:bottom w:val="single" w:sz="8" w:space="0" w:color="75B39D" w:themeColor="accent3"/>
      </w:tblBorders>
    </w:tblPr>
    <w:tblStylePr w:type="firstRow">
      <w:rPr>
        <w:rFonts w:asciiTheme="majorHAnsi" w:eastAsiaTheme="majorEastAsia" w:hAnsiTheme="majorHAnsi" w:cstheme="majorBidi"/>
      </w:rPr>
      <w:tblPr/>
      <w:tcPr>
        <w:tcBorders>
          <w:top w:val="nil"/>
          <w:bottom w:val="single" w:sz="8" w:space="0" w:color="75B39D" w:themeColor="accent3"/>
        </w:tcBorders>
      </w:tcPr>
    </w:tblStylePr>
    <w:tblStylePr w:type="lastRow">
      <w:rPr>
        <w:b/>
        <w:bCs/>
        <w:color w:val="003145" w:themeColor="text2"/>
      </w:rPr>
      <w:tblPr/>
      <w:tcPr>
        <w:tcBorders>
          <w:top w:val="single" w:sz="8" w:space="0" w:color="75B39D" w:themeColor="accent3"/>
          <w:bottom w:val="single" w:sz="8" w:space="0" w:color="75B39D" w:themeColor="accent3"/>
        </w:tcBorders>
      </w:tcPr>
    </w:tblStylePr>
    <w:tblStylePr w:type="firstCol">
      <w:rPr>
        <w:b/>
        <w:bCs/>
      </w:rPr>
    </w:tblStylePr>
    <w:tblStylePr w:type="lastCol">
      <w:rPr>
        <w:b/>
        <w:bCs/>
      </w:rPr>
      <w:tblPr/>
      <w:tcPr>
        <w:tcBorders>
          <w:top w:val="single" w:sz="8" w:space="0" w:color="75B39D" w:themeColor="accent3"/>
          <w:bottom w:val="single" w:sz="8" w:space="0" w:color="75B39D" w:themeColor="accent3"/>
        </w:tcBorders>
      </w:tcPr>
    </w:tblStylePr>
    <w:tblStylePr w:type="band1Vert">
      <w:tblPr/>
      <w:tcPr>
        <w:shd w:val="clear" w:color="auto" w:fill="DCECE6" w:themeFill="accent3" w:themeFillTint="3F"/>
      </w:tcPr>
    </w:tblStylePr>
    <w:tblStylePr w:type="band1Horz">
      <w:tblPr/>
      <w:tcPr>
        <w:shd w:val="clear" w:color="auto" w:fill="DCECE6" w:themeFill="accent3" w:themeFillTint="3F"/>
      </w:tcPr>
    </w:tblStylePr>
  </w:style>
  <w:style w:type="table" w:styleId="MittlereListe1-Akzent4">
    <w:name w:val="Medium List 1 Accent 4"/>
    <w:basedOn w:val="NormaleTabelle"/>
    <w:uiPriority w:val="65"/>
    <w:semiHidden/>
    <w:unhideWhenUsed/>
    <w:rsid w:val="001835F7"/>
    <w:rPr>
      <w:color w:val="000000" w:themeColor="text1"/>
    </w:rPr>
    <w:tblPr>
      <w:tblStyleRowBandSize w:val="1"/>
      <w:tblStyleColBandSize w:val="1"/>
      <w:tblBorders>
        <w:top w:val="single" w:sz="8" w:space="0" w:color="891B2D" w:themeColor="accent4"/>
        <w:bottom w:val="single" w:sz="8" w:space="0" w:color="891B2D" w:themeColor="accent4"/>
      </w:tblBorders>
    </w:tblPr>
    <w:tblStylePr w:type="firstRow">
      <w:rPr>
        <w:rFonts w:asciiTheme="majorHAnsi" w:eastAsiaTheme="majorEastAsia" w:hAnsiTheme="majorHAnsi" w:cstheme="majorBidi"/>
      </w:rPr>
      <w:tblPr/>
      <w:tcPr>
        <w:tcBorders>
          <w:top w:val="nil"/>
          <w:bottom w:val="single" w:sz="8" w:space="0" w:color="891B2D" w:themeColor="accent4"/>
        </w:tcBorders>
      </w:tcPr>
    </w:tblStylePr>
    <w:tblStylePr w:type="lastRow">
      <w:rPr>
        <w:b/>
        <w:bCs/>
        <w:color w:val="003145" w:themeColor="text2"/>
      </w:rPr>
      <w:tblPr/>
      <w:tcPr>
        <w:tcBorders>
          <w:top w:val="single" w:sz="8" w:space="0" w:color="891B2D" w:themeColor="accent4"/>
          <w:bottom w:val="single" w:sz="8" w:space="0" w:color="891B2D" w:themeColor="accent4"/>
        </w:tcBorders>
      </w:tcPr>
    </w:tblStylePr>
    <w:tblStylePr w:type="firstCol">
      <w:rPr>
        <w:b/>
        <w:bCs/>
      </w:rPr>
    </w:tblStylePr>
    <w:tblStylePr w:type="lastCol">
      <w:rPr>
        <w:b/>
        <w:bCs/>
      </w:rPr>
      <w:tblPr/>
      <w:tcPr>
        <w:tcBorders>
          <w:top w:val="single" w:sz="8" w:space="0" w:color="891B2D" w:themeColor="accent4"/>
          <w:bottom w:val="single" w:sz="8" w:space="0" w:color="891B2D" w:themeColor="accent4"/>
        </w:tcBorders>
      </w:tcPr>
    </w:tblStylePr>
    <w:tblStylePr w:type="band1Vert">
      <w:tblPr/>
      <w:tcPr>
        <w:shd w:val="clear" w:color="auto" w:fill="F1B7C0" w:themeFill="accent4" w:themeFillTint="3F"/>
      </w:tcPr>
    </w:tblStylePr>
    <w:tblStylePr w:type="band1Horz">
      <w:tblPr/>
      <w:tcPr>
        <w:shd w:val="clear" w:color="auto" w:fill="F1B7C0" w:themeFill="accent4" w:themeFillTint="3F"/>
      </w:tcPr>
    </w:tblStylePr>
  </w:style>
  <w:style w:type="table" w:styleId="MittlereListe1-Akzent5">
    <w:name w:val="Medium List 1 Accent 5"/>
    <w:basedOn w:val="NormaleTabelle"/>
    <w:uiPriority w:val="65"/>
    <w:semiHidden/>
    <w:unhideWhenUsed/>
    <w:rsid w:val="001835F7"/>
    <w:rPr>
      <w:color w:val="000000" w:themeColor="text1"/>
    </w:rPr>
    <w:tblPr>
      <w:tblStyleRowBandSize w:val="1"/>
      <w:tblStyleColBandSize w:val="1"/>
      <w:tblBorders>
        <w:top w:val="single" w:sz="8" w:space="0" w:color="5C6224" w:themeColor="accent5"/>
        <w:bottom w:val="single" w:sz="8" w:space="0" w:color="5C6224" w:themeColor="accent5"/>
      </w:tblBorders>
    </w:tblPr>
    <w:tblStylePr w:type="firstRow">
      <w:rPr>
        <w:rFonts w:asciiTheme="majorHAnsi" w:eastAsiaTheme="majorEastAsia" w:hAnsiTheme="majorHAnsi" w:cstheme="majorBidi"/>
      </w:rPr>
      <w:tblPr/>
      <w:tcPr>
        <w:tcBorders>
          <w:top w:val="nil"/>
          <w:bottom w:val="single" w:sz="8" w:space="0" w:color="5C6224" w:themeColor="accent5"/>
        </w:tcBorders>
      </w:tcPr>
    </w:tblStylePr>
    <w:tblStylePr w:type="lastRow">
      <w:rPr>
        <w:b/>
        <w:bCs/>
        <w:color w:val="003145" w:themeColor="text2"/>
      </w:rPr>
      <w:tblPr/>
      <w:tcPr>
        <w:tcBorders>
          <w:top w:val="single" w:sz="8" w:space="0" w:color="5C6224" w:themeColor="accent5"/>
          <w:bottom w:val="single" w:sz="8" w:space="0" w:color="5C6224" w:themeColor="accent5"/>
        </w:tcBorders>
      </w:tcPr>
    </w:tblStylePr>
    <w:tblStylePr w:type="firstCol">
      <w:rPr>
        <w:b/>
        <w:bCs/>
      </w:rPr>
    </w:tblStylePr>
    <w:tblStylePr w:type="lastCol">
      <w:rPr>
        <w:b/>
        <w:bCs/>
      </w:rPr>
      <w:tblPr/>
      <w:tcPr>
        <w:tcBorders>
          <w:top w:val="single" w:sz="8" w:space="0" w:color="5C6224" w:themeColor="accent5"/>
          <w:bottom w:val="single" w:sz="8" w:space="0" w:color="5C6224" w:themeColor="accent5"/>
        </w:tcBorders>
      </w:tcPr>
    </w:tblStylePr>
    <w:tblStylePr w:type="band1Vert">
      <w:tblPr/>
      <w:tcPr>
        <w:shd w:val="clear" w:color="auto" w:fill="E1E6BB" w:themeFill="accent5" w:themeFillTint="3F"/>
      </w:tcPr>
    </w:tblStylePr>
    <w:tblStylePr w:type="band1Horz">
      <w:tblPr/>
      <w:tcPr>
        <w:shd w:val="clear" w:color="auto" w:fill="E1E6BB" w:themeFill="accent5" w:themeFillTint="3F"/>
      </w:tcPr>
    </w:tblStylePr>
  </w:style>
  <w:style w:type="table" w:styleId="MittlereListe1-Akzent6">
    <w:name w:val="Medium List 1 Accent 6"/>
    <w:basedOn w:val="NormaleTabelle"/>
    <w:uiPriority w:val="65"/>
    <w:semiHidden/>
    <w:unhideWhenUsed/>
    <w:rsid w:val="001835F7"/>
    <w:rPr>
      <w:color w:val="000000" w:themeColor="text1"/>
    </w:rPr>
    <w:tblPr>
      <w:tblStyleRowBandSize w:val="1"/>
      <w:tblStyleColBandSize w:val="1"/>
      <w:tblBorders>
        <w:top w:val="single" w:sz="8" w:space="0" w:color="136F55" w:themeColor="accent6"/>
        <w:bottom w:val="single" w:sz="8" w:space="0" w:color="136F55" w:themeColor="accent6"/>
      </w:tblBorders>
    </w:tblPr>
    <w:tblStylePr w:type="firstRow">
      <w:rPr>
        <w:rFonts w:asciiTheme="majorHAnsi" w:eastAsiaTheme="majorEastAsia" w:hAnsiTheme="majorHAnsi" w:cstheme="majorBidi"/>
      </w:rPr>
      <w:tblPr/>
      <w:tcPr>
        <w:tcBorders>
          <w:top w:val="nil"/>
          <w:bottom w:val="single" w:sz="8" w:space="0" w:color="136F55" w:themeColor="accent6"/>
        </w:tcBorders>
      </w:tcPr>
    </w:tblStylePr>
    <w:tblStylePr w:type="lastRow">
      <w:rPr>
        <w:b/>
        <w:bCs/>
        <w:color w:val="003145" w:themeColor="text2"/>
      </w:rPr>
      <w:tblPr/>
      <w:tcPr>
        <w:tcBorders>
          <w:top w:val="single" w:sz="8" w:space="0" w:color="136F55" w:themeColor="accent6"/>
          <w:bottom w:val="single" w:sz="8" w:space="0" w:color="136F55" w:themeColor="accent6"/>
        </w:tcBorders>
      </w:tcPr>
    </w:tblStylePr>
    <w:tblStylePr w:type="firstCol">
      <w:rPr>
        <w:b/>
        <w:bCs/>
      </w:rPr>
    </w:tblStylePr>
    <w:tblStylePr w:type="lastCol">
      <w:rPr>
        <w:b/>
        <w:bCs/>
      </w:rPr>
      <w:tblPr/>
      <w:tcPr>
        <w:tcBorders>
          <w:top w:val="single" w:sz="8" w:space="0" w:color="136F55" w:themeColor="accent6"/>
          <w:bottom w:val="single" w:sz="8" w:space="0" w:color="136F55" w:themeColor="accent6"/>
        </w:tcBorders>
      </w:tcPr>
    </w:tblStylePr>
    <w:tblStylePr w:type="band1Vert">
      <w:tblPr/>
      <w:tcPr>
        <w:shd w:val="clear" w:color="auto" w:fill="AEF1DE" w:themeFill="accent6" w:themeFillTint="3F"/>
      </w:tcPr>
    </w:tblStylePr>
    <w:tblStylePr w:type="band1Horz">
      <w:tblPr/>
      <w:tcPr>
        <w:shd w:val="clear" w:color="auto" w:fill="AEF1DE" w:themeFill="accent6" w:themeFillTint="3F"/>
      </w:tcPr>
    </w:tblStylePr>
  </w:style>
  <w:style w:type="table" w:styleId="MittlereListe2">
    <w:name w:val="Medium List 2"/>
    <w:basedOn w:val="NormaleTabelle"/>
    <w:uiPriority w:val="66"/>
    <w:semiHidden/>
    <w:unhideWhenUsed/>
    <w:rsid w:val="001835F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1835F7"/>
    <w:rPr>
      <w:rFonts w:asciiTheme="majorHAnsi" w:eastAsiaTheme="majorEastAsia" w:hAnsiTheme="majorHAnsi" w:cstheme="majorBidi"/>
      <w:color w:val="000000" w:themeColor="text1"/>
    </w:rPr>
    <w:tblPr>
      <w:tblStyleRowBandSize w:val="1"/>
      <w:tblStyleColBandSize w:val="1"/>
      <w:tblBorders>
        <w:top w:val="single" w:sz="8" w:space="0" w:color="5EB9CF" w:themeColor="accent1"/>
        <w:left w:val="single" w:sz="8" w:space="0" w:color="5EB9CF" w:themeColor="accent1"/>
        <w:bottom w:val="single" w:sz="8" w:space="0" w:color="5EB9CF" w:themeColor="accent1"/>
        <w:right w:val="single" w:sz="8" w:space="0" w:color="5EB9CF" w:themeColor="accent1"/>
      </w:tblBorders>
    </w:tblPr>
    <w:tblStylePr w:type="firstRow">
      <w:rPr>
        <w:sz w:val="24"/>
        <w:szCs w:val="24"/>
      </w:rPr>
      <w:tblPr/>
      <w:tcPr>
        <w:tcBorders>
          <w:top w:val="nil"/>
          <w:left w:val="nil"/>
          <w:bottom w:val="single" w:sz="24" w:space="0" w:color="5EB9C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B9CF" w:themeColor="accent1"/>
          <w:insideH w:val="nil"/>
          <w:insideV w:val="nil"/>
        </w:tcBorders>
        <w:shd w:val="clear" w:color="auto" w:fill="FFFFFF" w:themeFill="background1"/>
      </w:tcPr>
    </w:tblStylePr>
    <w:tblStylePr w:type="lastCol">
      <w:tblPr/>
      <w:tcPr>
        <w:tcBorders>
          <w:top w:val="nil"/>
          <w:left w:val="single" w:sz="8" w:space="0" w:color="5EB9C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DF3" w:themeFill="accent1" w:themeFillTint="3F"/>
      </w:tcPr>
    </w:tblStylePr>
    <w:tblStylePr w:type="band1Horz">
      <w:tblPr/>
      <w:tcPr>
        <w:tcBorders>
          <w:top w:val="nil"/>
          <w:bottom w:val="nil"/>
          <w:insideH w:val="nil"/>
          <w:insideV w:val="nil"/>
        </w:tcBorders>
        <w:shd w:val="clear" w:color="auto" w:fill="D7EDF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1835F7"/>
    <w:rPr>
      <w:rFonts w:asciiTheme="majorHAnsi" w:eastAsiaTheme="majorEastAsia" w:hAnsiTheme="majorHAnsi" w:cstheme="majorBidi"/>
      <w:color w:val="000000" w:themeColor="text1"/>
    </w:rPr>
    <w:tblPr>
      <w:tblStyleRowBandSize w:val="1"/>
      <w:tblStyleColBandSize w:val="1"/>
      <w:tblBorders>
        <w:top w:val="single" w:sz="8" w:space="0" w:color="A8A8A8" w:themeColor="accent2"/>
        <w:left w:val="single" w:sz="8" w:space="0" w:color="A8A8A8" w:themeColor="accent2"/>
        <w:bottom w:val="single" w:sz="8" w:space="0" w:color="A8A8A8" w:themeColor="accent2"/>
        <w:right w:val="single" w:sz="8" w:space="0" w:color="A8A8A8" w:themeColor="accent2"/>
      </w:tblBorders>
    </w:tblPr>
    <w:tblStylePr w:type="firstRow">
      <w:rPr>
        <w:sz w:val="24"/>
        <w:szCs w:val="24"/>
      </w:rPr>
      <w:tblPr/>
      <w:tcPr>
        <w:tcBorders>
          <w:top w:val="nil"/>
          <w:left w:val="nil"/>
          <w:bottom w:val="single" w:sz="24" w:space="0" w:color="A8A8A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8A8A8" w:themeColor="accent2"/>
          <w:insideH w:val="nil"/>
          <w:insideV w:val="nil"/>
        </w:tcBorders>
        <w:shd w:val="clear" w:color="auto" w:fill="FFFFFF" w:themeFill="background1"/>
      </w:tcPr>
    </w:tblStylePr>
    <w:tblStylePr w:type="lastCol">
      <w:tblPr/>
      <w:tcPr>
        <w:tcBorders>
          <w:top w:val="nil"/>
          <w:left w:val="single" w:sz="8" w:space="0" w:color="A8A8A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9E9" w:themeFill="accent2" w:themeFillTint="3F"/>
      </w:tcPr>
    </w:tblStylePr>
    <w:tblStylePr w:type="band1Horz">
      <w:tblPr/>
      <w:tcPr>
        <w:tcBorders>
          <w:top w:val="nil"/>
          <w:bottom w:val="nil"/>
          <w:insideH w:val="nil"/>
          <w:insideV w:val="nil"/>
        </w:tcBorders>
        <w:shd w:val="clear" w:color="auto" w:fill="E9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1835F7"/>
    <w:rPr>
      <w:rFonts w:asciiTheme="majorHAnsi" w:eastAsiaTheme="majorEastAsia" w:hAnsiTheme="majorHAnsi" w:cstheme="majorBidi"/>
      <w:color w:val="000000" w:themeColor="text1"/>
    </w:rPr>
    <w:tblPr>
      <w:tblStyleRowBandSize w:val="1"/>
      <w:tblStyleColBandSize w:val="1"/>
      <w:tblBorders>
        <w:top w:val="single" w:sz="8" w:space="0" w:color="75B39D" w:themeColor="accent3"/>
        <w:left w:val="single" w:sz="8" w:space="0" w:color="75B39D" w:themeColor="accent3"/>
        <w:bottom w:val="single" w:sz="8" w:space="0" w:color="75B39D" w:themeColor="accent3"/>
        <w:right w:val="single" w:sz="8" w:space="0" w:color="75B39D" w:themeColor="accent3"/>
      </w:tblBorders>
    </w:tblPr>
    <w:tblStylePr w:type="firstRow">
      <w:rPr>
        <w:sz w:val="24"/>
        <w:szCs w:val="24"/>
      </w:rPr>
      <w:tblPr/>
      <w:tcPr>
        <w:tcBorders>
          <w:top w:val="nil"/>
          <w:left w:val="nil"/>
          <w:bottom w:val="single" w:sz="24" w:space="0" w:color="75B39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39D" w:themeColor="accent3"/>
          <w:insideH w:val="nil"/>
          <w:insideV w:val="nil"/>
        </w:tcBorders>
        <w:shd w:val="clear" w:color="auto" w:fill="FFFFFF" w:themeFill="background1"/>
      </w:tcPr>
    </w:tblStylePr>
    <w:tblStylePr w:type="lastCol">
      <w:tblPr/>
      <w:tcPr>
        <w:tcBorders>
          <w:top w:val="nil"/>
          <w:left w:val="single" w:sz="8" w:space="0" w:color="75B39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CE6" w:themeFill="accent3" w:themeFillTint="3F"/>
      </w:tcPr>
    </w:tblStylePr>
    <w:tblStylePr w:type="band1Horz">
      <w:tblPr/>
      <w:tcPr>
        <w:tcBorders>
          <w:top w:val="nil"/>
          <w:bottom w:val="nil"/>
          <w:insideH w:val="nil"/>
          <w:insideV w:val="nil"/>
        </w:tcBorders>
        <w:shd w:val="clear" w:color="auto" w:fill="DCEC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1835F7"/>
    <w:rPr>
      <w:rFonts w:asciiTheme="majorHAnsi" w:eastAsiaTheme="majorEastAsia" w:hAnsiTheme="majorHAnsi" w:cstheme="majorBidi"/>
      <w:color w:val="000000" w:themeColor="text1"/>
    </w:rPr>
    <w:tblPr>
      <w:tblStyleRowBandSize w:val="1"/>
      <w:tblStyleColBandSize w:val="1"/>
      <w:tblBorders>
        <w:top w:val="single" w:sz="8" w:space="0" w:color="891B2D" w:themeColor="accent4"/>
        <w:left w:val="single" w:sz="8" w:space="0" w:color="891B2D" w:themeColor="accent4"/>
        <w:bottom w:val="single" w:sz="8" w:space="0" w:color="891B2D" w:themeColor="accent4"/>
        <w:right w:val="single" w:sz="8" w:space="0" w:color="891B2D" w:themeColor="accent4"/>
      </w:tblBorders>
    </w:tblPr>
    <w:tblStylePr w:type="firstRow">
      <w:rPr>
        <w:sz w:val="24"/>
        <w:szCs w:val="24"/>
      </w:rPr>
      <w:tblPr/>
      <w:tcPr>
        <w:tcBorders>
          <w:top w:val="nil"/>
          <w:left w:val="nil"/>
          <w:bottom w:val="single" w:sz="24" w:space="0" w:color="891B2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1B2D" w:themeColor="accent4"/>
          <w:insideH w:val="nil"/>
          <w:insideV w:val="nil"/>
        </w:tcBorders>
        <w:shd w:val="clear" w:color="auto" w:fill="FFFFFF" w:themeFill="background1"/>
      </w:tcPr>
    </w:tblStylePr>
    <w:tblStylePr w:type="lastCol">
      <w:tblPr/>
      <w:tcPr>
        <w:tcBorders>
          <w:top w:val="nil"/>
          <w:left w:val="single" w:sz="8" w:space="0" w:color="891B2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B7C0" w:themeFill="accent4" w:themeFillTint="3F"/>
      </w:tcPr>
    </w:tblStylePr>
    <w:tblStylePr w:type="band1Horz">
      <w:tblPr/>
      <w:tcPr>
        <w:tcBorders>
          <w:top w:val="nil"/>
          <w:bottom w:val="nil"/>
          <w:insideH w:val="nil"/>
          <w:insideV w:val="nil"/>
        </w:tcBorders>
        <w:shd w:val="clear" w:color="auto" w:fill="F1B7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1835F7"/>
    <w:rPr>
      <w:rFonts w:asciiTheme="majorHAnsi" w:eastAsiaTheme="majorEastAsia" w:hAnsiTheme="majorHAnsi" w:cstheme="majorBidi"/>
      <w:color w:val="000000" w:themeColor="text1"/>
    </w:rPr>
    <w:tblPr>
      <w:tblStyleRowBandSize w:val="1"/>
      <w:tblStyleColBandSize w:val="1"/>
      <w:tblBorders>
        <w:top w:val="single" w:sz="8" w:space="0" w:color="5C6224" w:themeColor="accent5"/>
        <w:left w:val="single" w:sz="8" w:space="0" w:color="5C6224" w:themeColor="accent5"/>
        <w:bottom w:val="single" w:sz="8" w:space="0" w:color="5C6224" w:themeColor="accent5"/>
        <w:right w:val="single" w:sz="8" w:space="0" w:color="5C6224" w:themeColor="accent5"/>
      </w:tblBorders>
    </w:tblPr>
    <w:tblStylePr w:type="firstRow">
      <w:rPr>
        <w:sz w:val="24"/>
        <w:szCs w:val="24"/>
      </w:rPr>
      <w:tblPr/>
      <w:tcPr>
        <w:tcBorders>
          <w:top w:val="nil"/>
          <w:left w:val="nil"/>
          <w:bottom w:val="single" w:sz="24" w:space="0" w:color="5C622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6224" w:themeColor="accent5"/>
          <w:insideH w:val="nil"/>
          <w:insideV w:val="nil"/>
        </w:tcBorders>
        <w:shd w:val="clear" w:color="auto" w:fill="FFFFFF" w:themeFill="background1"/>
      </w:tcPr>
    </w:tblStylePr>
    <w:tblStylePr w:type="lastCol">
      <w:tblPr/>
      <w:tcPr>
        <w:tcBorders>
          <w:top w:val="nil"/>
          <w:left w:val="single" w:sz="8" w:space="0" w:color="5C622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BB" w:themeFill="accent5" w:themeFillTint="3F"/>
      </w:tcPr>
    </w:tblStylePr>
    <w:tblStylePr w:type="band1Horz">
      <w:tblPr/>
      <w:tcPr>
        <w:tcBorders>
          <w:top w:val="nil"/>
          <w:bottom w:val="nil"/>
          <w:insideH w:val="nil"/>
          <w:insideV w:val="nil"/>
        </w:tcBorders>
        <w:shd w:val="clear" w:color="auto" w:fill="E1E6B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1835F7"/>
    <w:rPr>
      <w:rFonts w:asciiTheme="majorHAnsi" w:eastAsiaTheme="majorEastAsia" w:hAnsiTheme="majorHAnsi" w:cstheme="majorBidi"/>
      <w:color w:val="000000" w:themeColor="text1"/>
    </w:rPr>
    <w:tblPr>
      <w:tblStyleRowBandSize w:val="1"/>
      <w:tblStyleColBandSize w:val="1"/>
      <w:tblBorders>
        <w:top w:val="single" w:sz="8" w:space="0" w:color="136F55" w:themeColor="accent6"/>
        <w:left w:val="single" w:sz="8" w:space="0" w:color="136F55" w:themeColor="accent6"/>
        <w:bottom w:val="single" w:sz="8" w:space="0" w:color="136F55" w:themeColor="accent6"/>
        <w:right w:val="single" w:sz="8" w:space="0" w:color="136F55" w:themeColor="accent6"/>
      </w:tblBorders>
    </w:tblPr>
    <w:tblStylePr w:type="firstRow">
      <w:rPr>
        <w:sz w:val="24"/>
        <w:szCs w:val="24"/>
      </w:rPr>
      <w:tblPr/>
      <w:tcPr>
        <w:tcBorders>
          <w:top w:val="nil"/>
          <w:left w:val="nil"/>
          <w:bottom w:val="single" w:sz="24" w:space="0" w:color="136F55"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36F55" w:themeColor="accent6"/>
          <w:insideH w:val="nil"/>
          <w:insideV w:val="nil"/>
        </w:tcBorders>
        <w:shd w:val="clear" w:color="auto" w:fill="FFFFFF" w:themeFill="background1"/>
      </w:tcPr>
    </w:tblStylePr>
    <w:tblStylePr w:type="lastCol">
      <w:tblPr/>
      <w:tcPr>
        <w:tcBorders>
          <w:top w:val="nil"/>
          <w:left w:val="single" w:sz="8" w:space="0" w:color="136F5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1DE" w:themeFill="accent6" w:themeFillTint="3F"/>
      </w:tcPr>
    </w:tblStylePr>
    <w:tblStylePr w:type="band1Horz">
      <w:tblPr/>
      <w:tcPr>
        <w:tcBorders>
          <w:top w:val="nil"/>
          <w:bottom w:val="nil"/>
          <w:insideH w:val="nil"/>
          <w:insideV w:val="nil"/>
        </w:tcBorders>
        <w:shd w:val="clear" w:color="auto" w:fill="AEF1D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1835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1835F7"/>
    <w:tblPr>
      <w:tblStyleRowBandSize w:val="1"/>
      <w:tblStyleColBandSize w:val="1"/>
      <w:tblBorders>
        <w:top w:val="single" w:sz="8" w:space="0" w:color="86CADB" w:themeColor="accent1" w:themeTint="BF"/>
        <w:left w:val="single" w:sz="8" w:space="0" w:color="86CADB" w:themeColor="accent1" w:themeTint="BF"/>
        <w:bottom w:val="single" w:sz="8" w:space="0" w:color="86CADB" w:themeColor="accent1" w:themeTint="BF"/>
        <w:right w:val="single" w:sz="8" w:space="0" w:color="86CADB" w:themeColor="accent1" w:themeTint="BF"/>
        <w:insideH w:val="single" w:sz="8" w:space="0" w:color="86CADB" w:themeColor="accent1" w:themeTint="BF"/>
      </w:tblBorders>
    </w:tblPr>
    <w:tblStylePr w:type="firstRow">
      <w:pPr>
        <w:spacing w:before="0" w:after="0" w:line="240" w:lineRule="auto"/>
      </w:pPr>
      <w:rPr>
        <w:b/>
        <w:bCs/>
        <w:color w:val="FFFFFF" w:themeColor="background1"/>
      </w:rPr>
      <w:tblPr/>
      <w:tcPr>
        <w:tcBorders>
          <w:top w:val="single" w:sz="8" w:space="0" w:color="86CADB" w:themeColor="accent1" w:themeTint="BF"/>
          <w:left w:val="single" w:sz="8" w:space="0" w:color="86CADB" w:themeColor="accent1" w:themeTint="BF"/>
          <w:bottom w:val="single" w:sz="8" w:space="0" w:color="86CADB" w:themeColor="accent1" w:themeTint="BF"/>
          <w:right w:val="single" w:sz="8" w:space="0" w:color="86CADB" w:themeColor="accent1" w:themeTint="BF"/>
          <w:insideH w:val="nil"/>
          <w:insideV w:val="nil"/>
        </w:tcBorders>
        <w:shd w:val="clear" w:color="auto" w:fill="5EB9CF" w:themeFill="accent1"/>
      </w:tcPr>
    </w:tblStylePr>
    <w:tblStylePr w:type="lastRow">
      <w:pPr>
        <w:spacing w:before="0" w:after="0" w:line="240" w:lineRule="auto"/>
      </w:pPr>
      <w:rPr>
        <w:b/>
        <w:bCs/>
      </w:rPr>
      <w:tblPr/>
      <w:tcPr>
        <w:tcBorders>
          <w:top w:val="double" w:sz="6" w:space="0" w:color="86CADB" w:themeColor="accent1" w:themeTint="BF"/>
          <w:left w:val="single" w:sz="8" w:space="0" w:color="86CADB" w:themeColor="accent1" w:themeTint="BF"/>
          <w:bottom w:val="single" w:sz="8" w:space="0" w:color="86CADB" w:themeColor="accent1" w:themeTint="BF"/>
          <w:right w:val="single" w:sz="8" w:space="0" w:color="86CAD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DF3" w:themeFill="accent1" w:themeFillTint="3F"/>
      </w:tcPr>
    </w:tblStylePr>
    <w:tblStylePr w:type="band1Horz">
      <w:tblPr/>
      <w:tcPr>
        <w:tcBorders>
          <w:insideH w:val="nil"/>
          <w:insideV w:val="nil"/>
        </w:tcBorders>
        <w:shd w:val="clear" w:color="auto" w:fill="D7EDF3"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1835F7"/>
    <w:tblPr>
      <w:tblStyleRowBandSize w:val="1"/>
      <w:tblStyleColBandSize w:val="1"/>
      <w:tblBorders>
        <w:top w:val="single" w:sz="8" w:space="0" w:color="BDBDBD" w:themeColor="accent2" w:themeTint="BF"/>
        <w:left w:val="single" w:sz="8" w:space="0" w:color="BDBDBD" w:themeColor="accent2" w:themeTint="BF"/>
        <w:bottom w:val="single" w:sz="8" w:space="0" w:color="BDBDBD" w:themeColor="accent2" w:themeTint="BF"/>
        <w:right w:val="single" w:sz="8" w:space="0" w:color="BDBDBD" w:themeColor="accent2" w:themeTint="BF"/>
        <w:insideH w:val="single" w:sz="8" w:space="0" w:color="BDBDBD" w:themeColor="accent2" w:themeTint="BF"/>
      </w:tblBorders>
    </w:tblPr>
    <w:tblStylePr w:type="firstRow">
      <w:pPr>
        <w:spacing w:before="0" w:after="0" w:line="240" w:lineRule="auto"/>
      </w:pPr>
      <w:rPr>
        <w:b/>
        <w:bCs/>
        <w:color w:val="FFFFFF" w:themeColor="background1"/>
      </w:rPr>
      <w:tblPr/>
      <w:tcPr>
        <w:tcBorders>
          <w:top w:val="single" w:sz="8" w:space="0" w:color="BDBDBD" w:themeColor="accent2" w:themeTint="BF"/>
          <w:left w:val="single" w:sz="8" w:space="0" w:color="BDBDBD" w:themeColor="accent2" w:themeTint="BF"/>
          <w:bottom w:val="single" w:sz="8" w:space="0" w:color="BDBDBD" w:themeColor="accent2" w:themeTint="BF"/>
          <w:right w:val="single" w:sz="8" w:space="0" w:color="BDBDBD" w:themeColor="accent2" w:themeTint="BF"/>
          <w:insideH w:val="nil"/>
          <w:insideV w:val="nil"/>
        </w:tcBorders>
        <w:shd w:val="clear" w:color="auto" w:fill="A8A8A8" w:themeFill="accent2"/>
      </w:tcPr>
    </w:tblStylePr>
    <w:tblStylePr w:type="lastRow">
      <w:pPr>
        <w:spacing w:before="0" w:after="0" w:line="240" w:lineRule="auto"/>
      </w:pPr>
      <w:rPr>
        <w:b/>
        <w:bCs/>
      </w:rPr>
      <w:tblPr/>
      <w:tcPr>
        <w:tcBorders>
          <w:top w:val="double" w:sz="6" w:space="0" w:color="BDBDBD" w:themeColor="accent2" w:themeTint="BF"/>
          <w:left w:val="single" w:sz="8" w:space="0" w:color="BDBDBD" w:themeColor="accent2" w:themeTint="BF"/>
          <w:bottom w:val="single" w:sz="8" w:space="0" w:color="BDBDBD" w:themeColor="accent2" w:themeTint="BF"/>
          <w:right w:val="single" w:sz="8" w:space="0" w:color="BDBDB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E9E9" w:themeFill="accent2" w:themeFillTint="3F"/>
      </w:tcPr>
    </w:tblStylePr>
    <w:tblStylePr w:type="band1Horz">
      <w:tblPr/>
      <w:tcPr>
        <w:tcBorders>
          <w:insideH w:val="nil"/>
          <w:insideV w:val="nil"/>
        </w:tcBorders>
        <w:shd w:val="clear" w:color="auto" w:fill="E9E9E9"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1835F7"/>
    <w:tblPr>
      <w:tblStyleRowBandSize w:val="1"/>
      <w:tblStyleColBandSize w:val="1"/>
      <w:tblBorders>
        <w:top w:val="single" w:sz="8" w:space="0" w:color="97C6B5" w:themeColor="accent3" w:themeTint="BF"/>
        <w:left w:val="single" w:sz="8" w:space="0" w:color="97C6B5" w:themeColor="accent3" w:themeTint="BF"/>
        <w:bottom w:val="single" w:sz="8" w:space="0" w:color="97C6B5" w:themeColor="accent3" w:themeTint="BF"/>
        <w:right w:val="single" w:sz="8" w:space="0" w:color="97C6B5" w:themeColor="accent3" w:themeTint="BF"/>
        <w:insideH w:val="single" w:sz="8" w:space="0" w:color="97C6B5" w:themeColor="accent3" w:themeTint="BF"/>
      </w:tblBorders>
    </w:tblPr>
    <w:tblStylePr w:type="firstRow">
      <w:pPr>
        <w:spacing w:before="0" w:after="0" w:line="240" w:lineRule="auto"/>
      </w:pPr>
      <w:rPr>
        <w:b/>
        <w:bCs/>
        <w:color w:val="FFFFFF" w:themeColor="background1"/>
      </w:rPr>
      <w:tblPr/>
      <w:tcPr>
        <w:tcBorders>
          <w:top w:val="single" w:sz="8" w:space="0" w:color="97C6B5" w:themeColor="accent3" w:themeTint="BF"/>
          <w:left w:val="single" w:sz="8" w:space="0" w:color="97C6B5" w:themeColor="accent3" w:themeTint="BF"/>
          <w:bottom w:val="single" w:sz="8" w:space="0" w:color="97C6B5" w:themeColor="accent3" w:themeTint="BF"/>
          <w:right w:val="single" w:sz="8" w:space="0" w:color="97C6B5" w:themeColor="accent3" w:themeTint="BF"/>
          <w:insideH w:val="nil"/>
          <w:insideV w:val="nil"/>
        </w:tcBorders>
        <w:shd w:val="clear" w:color="auto" w:fill="75B39D" w:themeFill="accent3"/>
      </w:tcPr>
    </w:tblStylePr>
    <w:tblStylePr w:type="lastRow">
      <w:pPr>
        <w:spacing w:before="0" w:after="0" w:line="240" w:lineRule="auto"/>
      </w:pPr>
      <w:rPr>
        <w:b/>
        <w:bCs/>
      </w:rPr>
      <w:tblPr/>
      <w:tcPr>
        <w:tcBorders>
          <w:top w:val="double" w:sz="6" w:space="0" w:color="97C6B5" w:themeColor="accent3" w:themeTint="BF"/>
          <w:left w:val="single" w:sz="8" w:space="0" w:color="97C6B5" w:themeColor="accent3" w:themeTint="BF"/>
          <w:bottom w:val="single" w:sz="8" w:space="0" w:color="97C6B5" w:themeColor="accent3" w:themeTint="BF"/>
          <w:right w:val="single" w:sz="8" w:space="0" w:color="97C6B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CE6" w:themeFill="accent3" w:themeFillTint="3F"/>
      </w:tcPr>
    </w:tblStylePr>
    <w:tblStylePr w:type="band1Horz">
      <w:tblPr/>
      <w:tcPr>
        <w:tcBorders>
          <w:insideH w:val="nil"/>
          <w:insideV w:val="nil"/>
        </w:tcBorders>
        <w:shd w:val="clear" w:color="auto" w:fill="DCECE6"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1835F7"/>
    <w:tblPr>
      <w:tblStyleRowBandSize w:val="1"/>
      <w:tblStyleColBandSize w:val="1"/>
      <w:tblBorders>
        <w:top w:val="single" w:sz="8" w:space="0" w:color="D12944" w:themeColor="accent4" w:themeTint="BF"/>
        <w:left w:val="single" w:sz="8" w:space="0" w:color="D12944" w:themeColor="accent4" w:themeTint="BF"/>
        <w:bottom w:val="single" w:sz="8" w:space="0" w:color="D12944" w:themeColor="accent4" w:themeTint="BF"/>
        <w:right w:val="single" w:sz="8" w:space="0" w:color="D12944" w:themeColor="accent4" w:themeTint="BF"/>
        <w:insideH w:val="single" w:sz="8" w:space="0" w:color="D12944" w:themeColor="accent4" w:themeTint="BF"/>
      </w:tblBorders>
    </w:tblPr>
    <w:tblStylePr w:type="firstRow">
      <w:pPr>
        <w:spacing w:before="0" w:after="0" w:line="240" w:lineRule="auto"/>
      </w:pPr>
      <w:rPr>
        <w:b/>
        <w:bCs/>
        <w:color w:val="FFFFFF" w:themeColor="background1"/>
      </w:rPr>
      <w:tblPr/>
      <w:tcPr>
        <w:tcBorders>
          <w:top w:val="single" w:sz="8" w:space="0" w:color="D12944" w:themeColor="accent4" w:themeTint="BF"/>
          <w:left w:val="single" w:sz="8" w:space="0" w:color="D12944" w:themeColor="accent4" w:themeTint="BF"/>
          <w:bottom w:val="single" w:sz="8" w:space="0" w:color="D12944" w:themeColor="accent4" w:themeTint="BF"/>
          <w:right w:val="single" w:sz="8" w:space="0" w:color="D12944" w:themeColor="accent4" w:themeTint="BF"/>
          <w:insideH w:val="nil"/>
          <w:insideV w:val="nil"/>
        </w:tcBorders>
        <w:shd w:val="clear" w:color="auto" w:fill="891B2D" w:themeFill="accent4"/>
      </w:tcPr>
    </w:tblStylePr>
    <w:tblStylePr w:type="lastRow">
      <w:pPr>
        <w:spacing w:before="0" w:after="0" w:line="240" w:lineRule="auto"/>
      </w:pPr>
      <w:rPr>
        <w:b/>
        <w:bCs/>
      </w:rPr>
      <w:tblPr/>
      <w:tcPr>
        <w:tcBorders>
          <w:top w:val="double" w:sz="6" w:space="0" w:color="D12944" w:themeColor="accent4" w:themeTint="BF"/>
          <w:left w:val="single" w:sz="8" w:space="0" w:color="D12944" w:themeColor="accent4" w:themeTint="BF"/>
          <w:bottom w:val="single" w:sz="8" w:space="0" w:color="D12944" w:themeColor="accent4" w:themeTint="BF"/>
          <w:right w:val="single" w:sz="8" w:space="0" w:color="D1294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B7C0" w:themeFill="accent4" w:themeFillTint="3F"/>
      </w:tcPr>
    </w:tblStylePr>
    <w:tblStylePr w:type="band1Horz">
      <w:tblPr/>
      <w:tcPr>
        <w:tcBorders>
          <w:insideH w:val="nil"/>
          <w:insideV w:val="nil"/>
        </w:tcBorders>
        <w:shd w:val="clear" w:color="auto" w:fill="F1B7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1835F7"/>
    <w:tblPr>
      <w:tblStyleRowBandSize w:val="1"/>
      <w:tblStyleColBandSize w:val="1"/>
      <w:tblBorders>
        <w:top w:val="single" w:sz="8" w:space="0" w:color="9CA63D" w:themeColor="accent5" w:themeTint="BF"/>
        <w:left w:val="single" w:sz="8" w:space="0" w:color="9CA63D" w:themeColor="accent5" w:themeTint="BF"/>
        <w:bottom w:val="single" w:sz="8" w:space="0" w:color="9CA63D" w:themeColor="accent5" w:themeTint="BF"/>
        <w:right w:val="single" w:sz="8" w:space="0" w:color="9CA63D" w:themeColor="accent5" w:themeTint="BF"/>
        <w:insideH w:val="single" w:sz="8" w:space="0" w:color="9CA63D" w:themeColor="accent5" w:themeTint="BF"/>
      </w:tblBorders>
    </w:tblPr>
    <w:tblStylePr w:type="firstRow">
      <w:pPr>
        <w:spacing w:before="0" w:after="0" w:line="240" w:lineRule="auto"/>
      </w:pPr>
      <w:rPr>
        <w:b/>
        <w:bCs/>
        <w:color w:val="FFFFFF" w:themeColor="background1"/>
      </w:rPr>
      <w:tblPr/>
      <w:tcPr>
        <w:tcBorders>
          <w:top w:val="single" w:sz="8" w:space="0" w:color="9CA63D" w:themeColor="accent5" w:themeTint="BF"/>
          <w:left w:val="single" w:sz="8" w:space="0" w:color="9CA63D" w:themeColor="accent5" w:themeTint="BF"/>
          <w:bottom w:val="single" w:sz="8" w:space="0" w:color="9CA63D" w:themeColor="accent5" w:themeTint="BF"/>
          <w:right w:val="single" w:sz="8" w:space="0" w:color="9CA63D" w:themeColor="accent5" w:themeTint="BF"/>
          <w:insideH w:val="nil"/>
          <w:insideV w:val="nil"/>
        </w:tcBorders>
        <w:shd w:val="clear" w:color="auto" w:fill="5C6224" w:themeFill="accent5"/>
      </w:tcPr>
    </w:tblStylePr>
    <w:tblStylePr w:type="lastRow">
      <w:pPr>
        <w:spacing w:before="0" w:after="0" w:line="240" w:lineRule="auto"/>
      </w:pPr>
      <w:rPr>
        <w:b/>
        <w:bCs/>
      </w:rPr>
      <w:tblPr/>
      <w:tcPr>
        <w:tcBorders>
          <w:top w:val="double" w:sz="6" w:space="0" w:color="9CA63D" w:themeColor="accent5" w:themeTint="BF"/>
          <w:left w:val="single" w:sz="8" w:space="0" w:color="9CA63D" w:themeColor="accent5" w:themeTint="BF"/>
          <w:bottom w:val="single" w:sz="8" w:space="0" w:color="9CA63D" w:themeColor="accent5" w:themeTint="BF"/>
          <w:right w:val="single" w:sz="8" w:space="0" w:color="9CA6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6BB" w:themeFill="accent5" w:themeFillTint="3F"/>
      </w:tcPr>
    </w:tblStylePr>
    <w:tblStylePr w:type="band1Horz">
      <w:tblPr/>
      <w:tcPr>
        <w:tcBorders>
          <w:insideH w:val="nil"/>
          <w:insideV w:val="nil"/>
        </w:tcBorders>
        <w:shd w:val="clear" w:color="auto" w:fill="E1E6BB"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1835F7"/>
    <w:tblPr>
      <w:tblStyleRowBandSize w:val="1"/>
      <w:tblStyleColBandSize w:val="1"/>
      <w:tblBorders>
        <w:top w:val="single" w:sz="8" w:space="0" w:color="21C092" w:themeColor="accent6" w:themeTint="BF"/>
        <w:left w:val="single" w:sz="8" w:space="0" w:color="21C092" w:themeColor="accent6" w:themeTint="BF"/>
        <w:bottom w:val="single" w:sz="8" w:space="0" w:color="21C092" w:themeColor="accent6" w:themeTint="BF"/>
        <w:right w:val="single" w:sz="8" w:space="0" w:color="21C092" w:themeColor="accent6" w:themeTint="BF"/>
        <w:insideH w:val="single" w:sz="8" w:space="0" w:color="21C092" w:themeColor="accent6" w:themeTint="BF"/>
      </w:tblBorders>
    </w:tblPr>
    <w:tblStylePr w:type="firstRow">
      <w:pPr>
        <w:spacing w:before="0" w:after="0" w:line="240" w:lineRule="auto"/>
      </w:pPr>
      <w:rPr>
        <w:b/>
        <w:bCs/>
        <w:color w:val="FFFFFF" w:themeColor="background1"/>
      </w:rPr>
      <w:tblPr/>
      <w:tcPr>
        <w:tcBorders>
          <w:top w:val="single" w:sz="8" w:space="0" w:color="21C092" w:themeColor="accent6" w:themeTint="BF"/>
          <w:left w:val="single" w:sz="8" w:space="0" w:color="21C092" w:themeColor="accent6" w:themeTint="BF"/>
          <w:bottom w:val="single" w:sz="8" w:space="0" w:color="21C092" w:themeColor="accent6" w:themeTint="BF"/>
          <w:right w:val="single" w:sz="8" w:space="0" w:color="21C092" w:themeColor="accent6" w:themeTint="BF"/>
          <w:insideH w:val="nil"/>
          <w:insideV w:val="nil"/>
        </w:tcBorders>
        <w:shd w:val="clear" w:color="auto" w:fill="136F55" w:themeFill="accent6"/>
      </w:tcPr>
    </w:tblStylePr>
    <w:tblStylePr w:type="lastRow">
      <w:pPr>
        <w:spacing w:before="0" w:after="0" w:line="240" w:lineRule="auto"/>
      </w:pPr>
      <w:rPr>
        <w:b/>
        <w:bCs/>
      </w:rPr>
      <w:tblPr/>
      <w:tcPr>
        <w:tcBorders>
          <w:top w:val="double" w:sz="6" w:space="0" w:color="21C092" w:themeColor="accent6" w:themeTint="BF"/>
          <w:left w:val="single" w:sz="8" w:space="0" w:color="21C092" w:themeColor="accent6" w:themeTint="BF"/>
          <w:bottom w:val="single" w:sz="8" w:space="0" w:color="21C092" w:themeColor="accent6" w:themeTint="BF"/>
          <w:right w:val="single" w:sz="8" w:space="0" w:color="21C092" w:themeColor="accent6" w:themeTint="BF"/>
          <w:insideH w:val="nil"/>
          <w:insideV w:val="nil"/>
        </w:tcBorders>
      </w:tcPr>
    </w:tblStylePr>
    <w:tblStylePr w:type="firstCol">
      <w:rPr>
        <w:b/>
        <w:bCs/>
      </w:rPr>
    </w:tblStylePr>
    <w:tblStylePr w:type="lastCol">
      <w:rPr>
        <w:b/>
        <w:bCs/>
      </w:rPr>
    </w:tblStylePr>
    <w:tblStylePr w:type="band1Vert">
      <w:tblPr/>
      <w:tcPr>
        <w:shd w:val="clear" w:color="auto" w:fill="AEF1DE" w:themeFill="accent6" w:themeFillTint="3F"/>
      </w:tcPr>
    </w:tblStylePr>
    <w:tblStylePr w:type="band1Horz">
      <w:tblPr/>
      <w:tcPr>
        <w:tcBorders>
          <w:insideH w:val="nil"/>
          <w:insideV w:val="nil"/>
        </w:tcBorders>
        <w:shd w:val="clear" w:color="auto" w:fill="AEF1DE"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1835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1835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B9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EB9CF" w:themeFill="accent1"/>
      </w:tcPr>
    </w:tblStylePr>
    <w:tblStylePr w:type="lastCol">
      <w:rPr>
        <w:b/>
        <w:bCs/>
        <w:color w:val="FFFFFF" w:themeColor="background1"/>
      </w:rPr>
      <w:tblPr/>
      <w:tcPr>
        <w:tcBorders>
          <w:left w:val="nil"/>
          <w:right w:val="nil"/>
          <w:insideH w:val="nil"/>
          <w:insideV w:val="nil"/>
        </w:tcBorders>
        <w:shd w:val="clear" w:color="auto" w:fill="5EB9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1835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8A8A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8A8A8" w:themeFill="accent2"/>
      </w:tcPr>
    </w:tblStylePr>
    <w:tblStylePr w:type="lastCol">
      <w:rPr>
        <w:b/>
        <w:bCs/>
        <w:color w:val="FFFFFF" w:themeColor="background1"/>
      </w:rPr>
      <w:tblPr/>
      <w:tcPr>
        <w:tcBorders>
          <w:left w:val="nil"/>
          <w:right w:val="nil"/>
          <w:insideH w:val="nil"/>
          <w:insideV w:val="nil"/>
        </w:tcBorders>
        <w:shd w:val="clear" w:color="auto" w:fill="A8A8A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1835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39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39D" w:themeFill="accent3"/>
      </w:tcPr>
    </w:tblStylePr>
    <w:tblStylePr w:type="lastCol">
      <w:rPr>
        <w:b/>
        <w:bCs/>
        <w:color w:val="FFFFFF" w:themeColor="background1"/>
      </w:rPr>
      <w:tblPr/>
      <w:tcPr>
        <w:tcBorders>
          <w:left w:val="nil"/>
          <w:right w:val="nil"/>
          <w:insideH w:val="nil"/>
          <w:insideV w:val="nil"/>
        </w:tcBorders>
        <w:shd w:val="clear" w:color="auto" w:fill="75B39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1835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1B2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1B2D" w:themeFill="accent4"/>
      </w:tcPr>
    </w:tblStylePr>
    <w:tblStylePr w:type="lastCol">
      <w:rPr>
        <w:b/>
        <w:bCs/>
        <w:color w:val="FFFFFF" w:themeColor="background1"/>
      </w:rPr>
      <w:tblPr/>
      <w:tcPr>
        <w:tcBorders>
          <w:left w:val="nil"/>
          <w:right w:val="nil"/>
          <w:insideH w:val="nil"/>
          <w:insideV w:val="nil"/>
        </w:tcBorders>
        <w:shd w:val="clear" w:color="auto" w:fill="891B2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1835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622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6224" w:themeFill="accent5"/>
      </w:tcPr>
    </w:tblStylePr>
    <w:tblStylePr w:type="lastCol">
      <w:rPr>
        <w:b/>
        <w:bCs/>
        <w:color w:val="FFFFFF" w:themeColor="background1"/>
      </w:rPr>
      <w:tblPr/>
      <w:tcPr>
        <w:tcBorders>
          <w:left w:val="nil"/>
          <w:right w:val="nil"/>
          <w:insideH w:val="nil"/>
          <w:insideV w:val="nil"/>
        </w:tcBorders>
        <w:shd w:val="clear" w:color="auto" w:fill="5C622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1835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36F5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36F55" w:themeFill="accent6"/>
      </w:tcPr>
    </w:tblStylePr>
    <w:tblStylePr w:type="lastCol">
      <w:rPr>
        <w:b/>
        <w:bCs/>
        <w:color w:val="FFFFFF" w:themeColor="background1"/>
      </w:rPr>
      <w:tblPr/>
      <w:tcPr>
        <w:tcBorders>
          <w:left w:val="nil"/>
          <w:right w:val="nil"/>
          <w:insideH w:val="nil"/>
          <w:insideV w:val="nil"/>
        </w:tcBorders>
        <w:shd w:val="clear" w:color="auto" w:fill="136F5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KeinLeerraum">
    <w:name w:val="No Spacing"/>
    <w:uiPriority w:val="99"/>
    <w:semiHidden/>
    <w:qFormat/>
    <w:rsid w:val="001835F7"/>
    <w:pPr>
      <w:overflowPunct w:val="0"/>
      <w:autoSpaceDE w:val="0"/>
      <w:autoSpaceDN w:val="0"/>
      <w:adjustRightInd w:val="0"/>
      <w:jc w:val="both"/>
      <w:textAlignment w:val="baseline"/>
    </w:pPr>
    <w:rPr>
      <w:lang w:val="de-DE"/>
    </w:rPr>
  </w:style>
  <w:style w:type="paragraph" w:customStyle="1" w:styleId="outcomefield">
    <w:name w:val="outcome field"/>
    <w:basedOn w:val="Textkrper"/>
    <w:next w:val="Textkrper"/>
    <w:uiPriority w:val="1"/>
    <w:qFormat/>
    <w:rsid w:val="001835F7"/>
    <w:pPr>
      <w:suppressLineNumbers/>
      <w:pBdr>
        <w:top w:val="single" w:sz="4" w:space="1" w:color="D8D9DA"/>
        <w:left w:val="single" w:sz="4" w:space="4" w:color="D8D9DA"/>
        <w:bottom w:val="single" w:sz="4" w:space="1" w:color="D8D9DA"/>
        <w:right w:val="single" w:sz="4" w:space="4" w:color="D8D9DA"/>
      </w:pBdr>
      <w:shd w:val="clear" w:color="auto" w:fill="D8D9DA"/>
      <w:overflowPunct/>
      <w:autoSpaceDE/>
      <w:autoSpaceDN/>
      <w:adjustRightInd/>
      <w:spacing w:before="0" w:after="270" w:line="270" w:lineRule="exact"/>
      <w:textAlignment w:val="auto"/>
    </w:pPr>
    <w:rPr>
      <w:rFonts w:ascii="Arial" w:eastAsia="Times New Roman" w:hAnsi="Arial" w:cs="Times New Roman"/>
      <w:szCs w:val="24"/>
      <w:lang w:eastAsia="de-DE"/>
    </w:rPr>
  </w:style>
  <w:style w:type="table" w:styleId="EinfacheTabelle1">
    <w:name w:val="Plain Table 1"/>
    <w:basedOn w:val="NormaleTabelle"/>
    <w:uiPriority w:val="41"/>
    <w:rsid w:val="001835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1835F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1835F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1835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1835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semiHidden/>
    <w:unhideWhenUsed/>
    <w:rsid w:val="001835F7"/>
    <w:pPr>
      <w:overflowPunct w:val="0"/>
      <w:autoSpaceDE w:val="0"/>
      <w:autoSpaceDN w:val="0"/>
      <w:adjustRightInd w:val="0"/>
      <w:spacing w:before="120" w:after="120" w:line="270" w:lineRule="atLeast"/>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unhideWhenUsed/>
    <w:rsid w:val="001835F7"/>
    <w:pPr>
      <w:overflowPunct w:val="0"/>
      <w:autoSpaceDE w:val="0"/>
      <w:autoSpaceDN w:val="0"/>
      <w:adjustRightInd w:val="0"/>
      <w:spacing w:before="120" w:after="120" w:line="270" w:lineRule="atLeast"/>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unhideWhenUsed/>
    <w:rsid w:val="001835F7"/>
    <w:pPr>
      <w:overflowPunct w:val="0"/>
      <w:autoSpaceDE w:val="0"/>
      <w:autoSpaceDN w:val="0"/>
      <w:adjustRightInd w:val="0"/>
      <w:spacing w:before="120" w:after="120" w:line="270" w:lineRule="atLeast"/>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unhideWhenUsed/>
    <w:rsid w:val="001835F7"/>
    <w:pPr>
      <w:overflowPunct w:val="0"/>
      <w:autoSpaceDE w:val="0"/>
      <w:autoSpaceDN w:val="0"/>
      <w:adjustRightInd w:val="0"/>
      <w:spacing w:before="120" w:after="120" w:line="270" w:lineRule="atLeast"/>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semiHidden/>
    <w:unhideWhenUsed/>
    <w:rsid w:val="001835F7"/>
    <w:pPr>
      <w:overflowPunct w:val="0"/>
      <w:autoSpaceDE w:val="0"/>
      <w:autoSpaceDN w:val="0"/>
      <w:adjustRightInd w:val="0"/>
      <w:spacing w:before="120" w:after="120" w:line="270" w:lineRule="atLeast"/>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semiHidden/>
    <w:unhideWhenUsed/>
    <w:rsid w:val="001835F7"/>
    <w:pPr>
      <w:overflowPunct w:val="0"/>
      <w:autoSpaceDE w:val="0"/>
      <w:autoSpaceDN w:val="0"/>
      <w:adjustRightInd w:val="0"/>
      <w:spacing w:before="120" w:after="120" w:line="270" w:lineRule="atLeast"/>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unhideWhenUsed/>
    <w:rsid w:val="001835F7"/>
    <w:pPr>
      <w:overflowPunct w:val="0"/>
      <w:autoSpaceDE w:val="0"/>
      <w:autoSpaceDN w:val="0"/>
      <w:adjustRightInd w:val="0"/>
      <w:spacing w:before="120" w:after="120" w:line="270" w:lineRule="atLeast"/>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unhideWhenUsed/>
    <w:rsid w:val="001835F7"/>
    <w:pPr>
      <w:overflowPunct w:val="0"/>
      <w:autoSpaceDE w:val="0"/>
      <w:autoSpaceDN w:val="0"/>
      <w:adjustRightInd w:val="0"/>
      <w:spacing w:before="120" w:after="120" w:line="270" w:lineRule="atLeast"/>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unhideWhenUsed/>
    <w:rsid w:val="001835F7"/>
    <w:pPr>
      <w:overflowPunct w:val="0"/>
      <w:autoSpaceDE w:val="0"/>
      <w:autoSpaceDN w:val="0"/>
      <w:adjustRightInd w:val="0"/>
      <w:spacing w:before="120" w:after="120" w:line="270" w:lineRule="atLeast"/>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unhideWhenUsed/>
    <w:rsid w:val="001835F7"/>
    <w:pPr>
      <w:overflowPunct w:val="0"/>
      <w:autoSpaceDE w:val="0"/>
      <w:autoSpaceDN w:val="0"/>
      <w:adjustRightInd w:val="0"/>
      <w:spacing w:before="120" w:after="120" w:line="270" w:lineRule="atLeast"/>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semiHidden/>
    <w:unhideWhenUsed/>
    <w:rsid w:val="001835F7"/>
    <w:pPr>
      <w:overflowPunct w:val="0"/>
      <w:autoSpaceDE w:val="0"/>
      <w:autoSpaceDN w:val="0"/>
      <w:adjustRightInd w:val="0"/>
      <w:spacing w:before="120" w:after="120" w:line="270" w:lineRule="atLeast"/>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unhideWhenUsed/>
    <w:rsid w:val="001835F7"/>
    <w:pPr>
      <w:overflowPunct w:val="0"/>
      <w:autoSpaceDE w:val="0"/>
      <w:autoSpaceDN w:val="0"/>
      <w:adjustRightInd w:val="0"/>
      <w:spacing w:before="120" w:after="120" w:line="270" w:lineRule="atLeast"/>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1835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semiHidden/>
    <w:unhideWhenUsed/>
    <w:rsid w:val="001835F7"/>
    <w:pPr>
      <w:overflowPunct w:val="0"/>
      <w:autoSpaceDE w:val="0"/>
      <w:autoSpaceDN w:val="0"/>
      <w:adjustRightInd w:val="0"/>
      <w:spacing w:before="120" w:after="120" w:line="270" w:lineRule="atLeast"/>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unhideWhenUsed/>
    <w:rsid w:val="001835F7"/>
    <w:pPr>
      <w:overflowPunct w:val="0"/>
      <w:autoSpaceDE w:val="0"/>
      <w:autoSpaceDN w:val="0"/>
      <w:adjustRightInd w:val="0"/>
      <w:spacing w:before="120" w:after="120" w:line="270" w:lineRule="atLeast"/>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unhideWhenUsed/>
    <w:rsid w:val="001835F7"/>
    <w:pPr>
      <w:overflowPunct w:val="0"/>
      <w:autoSpaceDE w:val="0"/>
      <w:autoSpaceDN w:val="0"/>
      <w:adjustRightInd w:val="0"/>
      <w:spacing w:before="120" w:after="120" w:line="270" w:lineRule="atLeast"/>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unhideWhenUsed/>
    <w:rsid w:val="001835F7"/>
    <w:pPr>
      <w:overflowPunct w:val="0"/>
      <w:autoSpaceDE w:val="0"/>
      <w:autoSpaceDN w:val="0"/>
      <w:adjustRightInd w:val="0"/>
      <w:spacing w:before="120" w:after="120" w:line="270" w:lineRule="atLeast"/>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unhideWhenUsed/>
    <w:rsid w:val="001835F7"/>
    <w:pPr>
      <w:overflowPunct w:val="0"/>
      <w:autoSpaceDE w:val="0"/>
      <w:autoSpaceDN w:val="0"/>
      <w:adjustRightInd w:val="0"/>
      <w:spacing w:before="120" w:after="120" w:line="270" w:lineRule="atLeast"/>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unhideWhenUsed/>
    <w:rsid w:val="001835F7"/>
    <w:pPr>
      <w:overflowPunct w:val="0"/>
      <w:autoSpaceDE w:val="0"/>
      <w:autoSpaceDN w:val="0"/>
      <w:adjustRightInd w:val="0"/>
      <w:spacing w:before="120" w:after="120" w:line="270" w:lineRule="atLeast"/>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unhideWhenUsed/>
    <w:rsid w:val="001835F7"/>
    <w:pPr>
      <w:overflowPunct w:val="0"/>
      <w:autoSpaceDE w:val="0"/>
      <w:autoSpaceDN w:val="0"/>
      <w:adjustRightInd w:val="0"/>
      <w:spacing w:before="120" w:after="120" w:line="270" w:lineRule="atLeast"/>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semiHidden/>
    <w:unhideWhenUsed/>
    <w:rsid w:val="001835F7"/>
    <w:pPr>
      <w:overflowPunct w:val="0"/>
      <w:autoSpaceDE w:val="0"/>
      <w:autoSpaceDN w:val="0"/>
      <w:adjustRightInd w:val="0"/>
      <w:spacing w:before="120" w:after="120" w:line="27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unhideWhenUsed/>
    <w:rsid w:val="001835F7"/>
    <w:pPr>
      <w:overflowPunct w:val="0"/>
      <w:autoSpaceDE w:val="0"/>
      <w:autoSpaceDN w:val="0"/>
      <w:adjustRightInd w:val="0"/>
      <w:spacing w:before="120" w:after="120" w:line="270" w:lineRule="atLeast"/>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unhideWhenUsed/>
    <w:rsid w:val="001835F7"/>
    <w:pPr>
      <w:overflowPunct w:val="0"/>
      <w:autoSpaceDE w:val="0"/>
      <w:autoSpaceDN w:val="0"/>
      <w:adjustRightInd w:val="0"/>
      <w:spacing w:before="120" w:after="120" w:line="270" w:lineRule="atLeast"/>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unhideWhenUsed/>
    <w:rsid w:val="001835F7"/>
    <w:pPr>
      <w:overflowPunct w:val="0"/>
      <w:autoSpaceDE w:val="0"/>
      <w:autoSpaceDN w:val="0"/>
      <w:adjustRightInd w:val="0"/>
      <w:spacing w:before="120" w:after="120" w:line="270" w:lineRule="atLeast"/>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haltsverzeichnisberschrift">
    <w:name w:val="TOC Heading"/>
    <w:basedOn w:val="berschrift1"/>
    <w:next w:val="Standard"/>
    <w:uiPriority w:val="39"/>
    <w:qFormat/>
    <w:rsid w:val="001835F7"/>
    <w:pPr>
      <w:numPr>
        <w:numId w:val="0"/>
      </w:numPr>
      <w:suppressLineNumbers w:val="0"/>
      <w:spacing w:before="240" w:after="0" w:line="259" w:lineRule="auto"/>
      <w:outlineLvl w:val="9"/>
    </w:pPr>
    <w:rPr>
      <w:rFonts w:ascii="Arial Bold" w:eastAsiaTheme="majorEastAsia" w:hAnsi="Arial Bold" w:cstheme="majorBidi"/>
      <w:bCs w:val="0"/>
      <w:lang w:eastAsia="en-US"/>
    </w:rPr>
  </w:style>
  <w:style w:type="paragraph" w:customStyle="1" w:styleId="BodyTextIndent1">
    <w:name w:val="Body Text Indent 1"/>
    <w:basedOn w:val="Textkrper-Zeileneinzug"/>
    <w:link w:val="BodyTextIndent1Char"/>
    <w:qFormat/>
    <w:rsid w:val="00454B5B"/>
    <w:pPr>
      <w:jc w:val="left"/>
    </w:pPr>
  </w:style>
  <w:style w:type="character" w:customStyle="1" w:styleId="BodyTextIndent1Char">
    <w:name w:val="Body Text Indent 1 Char"/>
    <w:basedOn w:val="Textkrper-ZeileneinzugZchn"/>
    <w:link w:val="BodyTextIndent1"/>
    <w:rsid w:val="00454B5B"/>
    <w:rPr>
      <w:lang w:val="de-DE"/>
    </w:rPr>
  </w:style>
  <w:style w:type="paragraph" w:customStyle="1" w:styleId="BodyTextHeaderFooter">
    <w:name w:val="Body Text Header Footer"/>
    <w:uiPriority w:val="5"/>
    <w:semiHidden/>
    <w:qFormat/>
    <w:rsid w:val="001835F7"/>
    <w:pPr>
      <w:spacing w:before="120" w:after="120" w:line="320" w:lineRule="atLeast"/>
    </w:pPr>
    <w:rPr>
      <w:lang w:val="de-DE"/>
    </w:rPr>
  </w:style>
  <w:style w:type="paragraph" w:customStyle="1" w:styleId="BodyText10">
    <w:name w:val="BodyText_1"/>
    <w:rsid w:val="001835F7"/>
    <w:pPr>
      <w:overflowPunct w:val="0"/>
      <w:autoSpaceDE w:val="0"/>
      <w:autoSpaceDN w:val="0"/>
      <w:adjustRightInd w:val="0"/>
      <w:spacing w:before="120" w:after="120" w:line="320" w:lineRule="atLeast"/>
      <w:jc w:val="both"/>
      <w:textAlignment w:val="baseline"/>
    </w:pPr>
    <w:rPr>
      <w:lang w:val="de-DE"/>
    </w:rPr>
  </w:style>
  <w:style w:type="paragraph" w:customStyle="1" w:styleId="TableParagraph">
    <w:name w:val="Table Paragraph"/>
    <w:basedOn w:val="Standard"/>
    <w:uiPriority w:val="1"/>
    <w:qFormat/>
    <w:rsid w:val="001835F7"/>
    <w:pPr>
      <w:widowControl w:val="0"/>
    </w:pPr>
    <w:rPr>
      <w:rFonts w:ascii="Arial" w:eastAsiaTheme="minorEastAsia" w:hAnsi="Arial" w:cs="Arial"/>
      <w14:ligatures w14:val="standardContextual"/>
    </w:rPr>
  </w:style>
  <w:style w:type="paragraph" w:customStyle="1" w:styleId="Zitat10">
    <w:name w:val="Zitat1"/>
    <w:basedOn w:val="Textkrper"/>
    <w:uiPriority w:val="2"/>
    <w:qFormat/>
    <w:rsid w:val="001835F7"/>
    <w:pPr>
      <w:overflowPunct/>
      <w:autoSpaceDE/>
      <w:autoSpaceDN/>
      <w:adjustRightInd/>
      <w:spacing w:before="0" w:after="0" w:line="240" w:lineRule="auto"/>
      <w:ind w:left="794"/>
      <w:jc w:val="left"/>
      <w:textAlignment w:val="auto"/>
    </w:pPr>
    <w:rPr>
      <w:rFonts w:ascii="Arial" w:eastAsia="Times New Roman" w:hAnsi="Arial" w:cs="Times New Roman"/>
      <w:i/>
      <w:sz w:val="24"/>
      <w:szCs w:val="24"/>
      <w:lang w:eastAsia="de-DE"/>
    </w:rPr>
  </w:style>
  <w:style w:type="table" w:styleId="Tabellenraster">
    <w:name w:val="Table Grid"/>
    <w:basedOn w:val="NormaleTabelle"/>
    <w:rsid w:val="0018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1">
    <w:name w:val="TableParagraph_1"/>
    <w:uiPriority w:val="1"/>
    <w:qFormat/>
    <w:rsid w:val="001835F7"/>
    <w:pPr>
      <w:widowControl w:val="0"/>
      <w:autoSpaceDE w:val="0"/>
      <w:autoSpaceDN w:val="0"/>
      <w:adjustRightInd w:val="0"/>
    </w:pPr>
    <w:rPr>
      <w:rFonts w:ascii="Arial" w:eastAsiaTheme="minorEastAsia" w:hAnsi="Arial" w:cs="Arial"/>
      <w:sz w:val="24"/>
      <w:szCs w:val="24"/>
      <w:lang w:val="de-DE" w:eastAsia="de-DE"/>
      <w14:ligatures w14:val="standardContextual"/>
    </w:rPr>
  </w:style>
  <w:style w:type="paragraph" w:styleId="berarbeitung">
    <w:name w:val="Revision"/>
    <w:hidden/>
    <w:uiPriority w:val="99"/>
    <w:semiHidden/>
    <w:rsid w:val="001835F7"/>
    <w:rPr>
      <w:lang w:val="de-DE"/>
    </w:rPr>
  </w:style>
  <w:style w:type="character" w:styleId="NichtaufgelsteErwhnung">
    <w:name w:val="Unresolved Mention"/>
    <w:basedOn w:val="Absatz-Standardschriftart"/>
    <w:uiPriority w:val="99"/>
    <w:unhideWhenUsed/>
    <w:rsid w:val="001835F7"/>
    <w:rPr>
      <w:color w:val="605E5C"/>
      <w:shd w:val="clear" w:color="auto" w:fill="E1DFDD"/>
    </w:rPr>
  </w:style>
  <w:style w:type="paragraph" w:customStyle="1" w:styleId="Default">
    <w:name w:val="Default"/>
    <w:rsid w:val="001835F7"/>
    <w:pPr>
      <w:autoSpaceDE w:val="0"/>
      <w:autoSpaceDN w:val="0"/>
      <w:adjustRightInd w:val="0"/>
    </w:pPr>
    <w:rPr>
      <w:rFonts w:ascii="Times New Roman" w:hAnsi="Times New Roman" w:cs="Times New Roman"/>
      <w:color w:val="000000"/>
      <w:sz w:val="24"/>
      <w:szCs w:val="24"/>
      <w:lang w:val="de-DE"/>
    </w:rPr>
  </w:style>
  <w:style w:type="character" w:styleId="Seitenzahl">
    <w:name w:val="page number"/>
    <w:basedOn w:val="Absatz-Standardschriftart"/>
    <w:semiHidden/>
    <w:rsid w:val="001835F7"/>
    <w:rPr>
      <w:rFonts w:ascii="Arial" w:hAnsi="Arial" w:cs="Arial"/>
      <w:sz w:val="14"/>
      <w:lang w:val="de-DE"/>
    </w:rPr>
  </w:style>
  <w:style w:type="numbering" w:styleId="111111">
    <w:name w:val="Outline List 2"/>
    <w:basedOn w:val="KeineListe"/>
    <w:rsid w:val="001835F7"/>
    <w:pPr>
      <w:numPr>
        <w:numId w:val="18"/>
      </w:numPr>
    </w:pPr>
  </w:style>
  <w:style w:type="numbering" w:styleId="1ai">
    <w:name w:val="Outline List 1"/>
    <w:basedOn w:val="KeineListe"/>
    <w:rsid w:val="001835F7"/>
    <w:pPr>
      <w:numPr>
        <w:numId w:val="19"/>
      </w:numPr>
    </w:pPr>
  </w:style>
  <w:style w:type="numbering" w:styleId="ArtikelAbschnitt">
    <w:name w:val="Outline List 3"/>
    <w:basedOn w:val="KeineListe"/>
    <w:rsid w:val="001835F7"/>
    <w:pPr>
      <w:numPr>
        <w:numId w:val="20"/>
      </w:numPr>
    </w:pPr>
  </w:style>
  <w:style w:type="paragraph" w:styleId="Textkrper-Einzug3">
    <w:name w:val="Body Text Indent 3"/>
    <w:basedOn w:val="Standard"/>
    <w:link w:val="Textkrper-Einzug3Zchn"/>
    <w:semiHidden/>
    <w:rsid w:val="001835F7"/>
    <w:pPr>
      <w:ind w:left="283"/>
    </w:pPr>
    <w:rPr>
      <w:sz w:val="16"/>
      <w:szCs w:val="16"/>
    </w:rPr>
  </w:style>
  <w:style w:type="character" w:customStyle="1" w:styleId="Textkrper-Einzug3Zchn">
    <w:name w:val="Textkörper-Einzug 3 Zchn"/>
    <w:basedOn w:val="Absatz-Standardschriftart"/>
    <w:link w:val="Textkrper-Einzug3"/>
    <w:semiHidden/>
    <w:rsid w:val="001835F7"/>
    <w:rPr>
      <w:sz w:val="16"/>
      <w:szCs w:val="16"/>
      <w:lang w:val="de-DE"/>
    </w:rPr>
  </w:style>
  <w:style w:type="paragraph" w:styleId="NurText">
    <w:name w:val="Plain Text"/>
    <w:basedOn w:val="Standard"/>
    <w:link w:val="NurTextZchn"/>
    <w:semiHidden/>
    <w:rsid w:val="001835F7"/>
    <w:rPr>
      <w:rFonts w:ascii="Courier New" w:hAnsi="Courier New" w:cs="Courier New"/>
    </w:rPr>
  </w:style>
  <w:style w:type="character" w:customStyle="1" w:styleId="NurTextZchn">
    <w:name w:val="Nur Text Zchn"/>
    <w:basedOn w:val="Absatz-Standardschriftart"/>
    <w:link w:val="NurText"/>
    <w:semiHidden/>
    <w:rsid w:val="001835F7"/>
    <w:rPr>
      <w:rFonts w:ascii="Courier New" w:hAnsi="Courier New" w:cs="Courier New"/>
      <w:lang w:val="de-DE"/>
    </w:rPr>
  </w:style>
  <w:style w:type="paragraph" w:customStyle="1" w:styleId="AgreementName">
    <w:name w:val="Agreement Name"/>
    <w:basedOn w:val="Standard"/>
    <w:semiHidden/>
    <w:rsid w:val="001835F7"/>
    <w:pPr>
      <w:jc w:val="left"/>
    </w:pPr>
    <w:rPr>
      <w:b/>
      <w:sz w:val="32"/>
    </w:rPr>
  </w:style>
  <w:style w:type="paragraph" w:customStyle="1" w:styleId="AgreementName1">
    <w:name w:val="Agreement Name 1"/>
    <w:basedOn w:val="AgreementName"/>
    <w:semiHidden/>
    <w:rsid w:val="001835F7"/>
    <w:pPr>
      <w:tabs>
        <w:tab w:val="left" w:pos="1633"/>
        <w:tab w:val="left" w:pos="5387"/>
      </w:tabs>
    </w:pPr>
    <w:rPr>
      <w:b w:val="0"/>
      <w:sz w:val="20"/>
    </w:rPr>
  </w:style>
  <w:style w:type="paragraph" w:customStyle="1" w:styleId="Parties">
    <w:name w:val="Parties"/>
    <w:basedOn w:val="DocumentHeader"/>
    <w:semiHidden/>
    <w:rsid w:val="001835F7"/>
    <w:pPr>
      <w:numPr>
        <w:numId w:val="21"/>
      </w:numPr>
      <w:tabs>
        <w:tab w:val="num" w:pos="720"/>
      </w:tabs>
      <w:spacing w:after="120"/>
      <w:jc w:val="both"/>
    </w:pPr>
    <w:rPr>
      <w:sz w:val="20"/>
    </w:rPr>
  </w:style>
  <w:style w:type="paragraph" w:customStyle="1" w:styleId="PartiesFrontSheet">
    <w:name w:val="Parties Front Sheet"/>
    <w:basedOn w:val="Parties"/>
    <w:semiHidden/>
    <w:rsid w:val="001835F7"/>
    <w:pPr>
      <w:numPr>
        <w:numId w:val="0"/>
      </w:numPr>
    </w:pPr>
    <w:rPr>
      <w:b w:val="0"/>
    </w:rPr>
  </w:style>
  <w:style w:type="paragraph" w:customStyle="1" w:styleId="Schedule">
    <w:name w:val="Schedule"/>
    <w:basedOn w:val="berschrift1"/>
    <w:next w:val="BodyText1"/>
    <w:uiPriority w:val="2"/>
    <w:semiHidden/>
    <w:rsid w:val="001835F7"/>
    <w:pPr>
      <w:numPr>
        <w:numId w:val="23"/>
      </w:numPr>
      <w:ind w:left="357" w:hanging="357"/>
      <w:outlineLvl w:val="9"/>
    </w:pPr>
  </w:style>
  <w:style w:type="paragraph" w:customStyle="1" w:styleId="ScheduleText">
    <w:name w:val="Schedule Text"/>
    <w:basedOn w:val="BodyText1"/>
    <w:uiPriority w:val="2"/>
    <w:semiHidden/>
    <w:rsid w:val="001835F7"/>
    <w:pPr>
      <w:numPr>
        <w:ilvl w:val="1"/>
        <w:numId w:val="23"/>
      </w:numPr>
    </w:pPr>
    <w:rPr>
      <w:rFonts w:ascii="Arial" w:eastAsia="Times New Roman" w:hAnsi="Arial" w:cs="Arial"/>
    </w:rPr>
  </w:style>
  <w:style w:type="paragraph" w:customStyle="1" w:styleId="ScheduleTextLevel2">
    <w:name w:val="Schedule Text Level 2"/>
    <w:basedOn w:val="BodyText1"/>
    <w:uiPriority w:val="2"/>
    <w:semiHidden/>
    <w:rsid w:val="001835F7"/>
    <w:pPr>
      <w:numPr>
        <w:ilvl w:val="2"/>
        <w:numId w:val="23"/>
      </w:numPr>
      <w:overflowPunct/>
      <w:autoSpaceDE/>
      <w:autoSpaceDN/>
      <w:adjustRightInd/>
      <w:textAlignment w:val="auto"/>
    </w:pPr>
    <w:rPr>
      <w:rFonts w:ascii="Arial" w:eastAsia="Times New Roman" w:hAnsi="Arial" w:cs="Arial"/>
      <w:szCs w:val="24"/>
    </w:rPr>
  </w:style>
  <w:style w:type="numbering" w:customStyle="1" w:styleId="Schedules">
    <w:name w:val="Schedules"/>
    <w:uiPriority w:val="99"/>
    <w:rsid w:val="001835F7"/>
    <w:pPr>
      <w:numPr>
        <w:numId w:val="22"/>
      </w:numPr>
    </w:pPr>
  </w:style>
  <w:style w:type="paragraph" w:customStyle="1" w:styleId="OCFooter">
    <w:name w:val="OC Footer"/>
    <w:basedOn w:val="Standard"/>
    <w:semiHidden/>
    <w:qFormat/>
    <w:rsid w:val="001835F7"/>
    <w:rPr>
      <w:sz w:val="12"/>
    </w:rPr>
  </w:style>
  <w:style w:type="paragraph" w:styleId="IntensivesZitat">
    <w:name w:val="Intense Quote"/>
    <w:basedOn w:val="Standard"/>
    <w:next w:val="Standard"/>
    <w:link w:val="IntensivesZitatZchn"/>
    <w:uiPriority w:val="99"/>
    <w:semiHidden/>
    <w:qFormat/>
    <w:rsid w:val="001835F7"/>
    <w:pPr>
      <w:pBdr>
        <w:top w:val="single" w:sz="4" w:space="10" w:color="5EB9CF" w:themeColor="accent1"/>
        <w:bottom w:val="single" w:sz="4" w:space="10" w:color="5EB9CF" w:themeColor="accent1"/>
      </w:pBdr>
      <w:spacing w:before="360" w:after="360"/>
      <w:ind w:left="864" w:right="864"/>
      <w:jc w:val="center"/>
    </w:pPr>
    <w:rPr>
      <w:i/>
      <w:iCs/>
      <w:color w:val="5EB9CF" w:themeColor="accent1"/>
    </w:rPr>
  </w:style>
  <w:style w:type="character" w:customStyle="1" w:styleId="IntensivesZitatZchn">
    <w:name w:val="Intensives Zitat Zchn"/>
    <w:basedOn w:val="Absatz-Standardschriftart"/>
    <w:link w:val="IntensivesZitat"/>
    <w:uiPriority w:val="99"/>
    <w:semiHidden/>
    <w:rsid w:val="001835F7"/>
    <w:rPr>
      <w:i/>
      <w:iCs/>
      <w:color w:val="5EB9CF" w:themeColor="accent1"/>
      <w:lang w:val="de-DE"/>
    </w:rPr>
  </w:style>
  <w:style w:type="paragraph" w:styleId="Zitat">
    <w:name w:val="Quote"/>
    <w:basedOn w:val="Standard"/>
    <w:next w:val="Standard"/>
    <w:link w:val="ZitatZchn"/>
    <w:uiPriority w:val="99"/>
    <w:semiHidden/>
    <w:qFormat/>
    <w:rsid w:val="001835F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99"/>
    <w:semiHidden/>
    <w:rsid w:val="001835F7"/>
    <w:rPr>
      <w:i/>
      <w:iCs/>
      <w:color w:val="404040" w:themeColor="text1" w:themeTint="BF"/>
      <w:lang w:val="de-DE"/>
    </w:rPr>
  </w:style>
  <w:style w:type="character" w:styleId="SchwacheHervorhebung">
    <w:name w:val="Subtle Emphasis"/>
    <w:basedOn w:val="Absatz-Standardschriftart"/>
    <w:uiPriority w:val="99"/>
    <w:semiHidden/>
    <w:qFormat/>
    <w:rsid w:val="001835F7"/>
    <w:rPr>
      <w:i/>
      <w:iCs/>
      <w:color w:val="404040" w:themeColor="text1" w:themeTint="BF"/>
      <w:lang w:val="de-DE"/>
    </w:rPr>
  </w:style>
  <w:style w:type="character" w:styleId="SchwacherVerweis">
    <w:name w:val="Subtle Reference"/>
    <w:basedOn w:val="Absatz-Standardschriftart"/>
    <w:uiPriority w:val="99"/>
    <w:semiHidden/>
    <w:qFormat/>
    <w:rsid w:val="001835F7"/>
    <w:rPr>
      <w:smallCaps/>
      <w:color w:val="5A5A5A" w:themeColor="text1" w:themeTint="A5"/>
      <w:lang w:val="de-DE"/>
    </w:rPr>
  </w:style>
  <w:style w:type="paragraph" w:customStyle="1" w:styleId="OfficeAddress">
    <w:name w:val="Office Address"/>
    <w:basedOn w:val="Standard"/>
    <w:semiHidden/>
    <w:rsid w:val="001835F7"/>
    <w:pPr>
      <w:overflowPunct/>
      <w:autoSpaceDE/>
      <w:autoSpaceDN/>
      <w:adjustRightInd/>
      <w:spacing w:before="40" w:after="0" w:line="240" w:lineRule="auto"/>
      <w:jc w:val="left"/>
      <w:textAlignment w:val="auto"/>
    </w:pPr>
    <w:rPr>
      <w:rFonts w:ascii="Arial" w:eastAsia="Times New Roman" w:hAnsi="Arial" w:cs="Times New Roman"/>
      <w:noProof/>
      <w:color w:val="404040"/>
      <w:sz w:val="15"/>
      <w:szCs w:val="15"/>
      <w:lang w:val="en-GB" w:eastAsia="en-GB"/>
    </w:rPr>
  </w:style>
  <w:style w:type="character" w:customStyle="1" w:styleId="OCBold">
    <w:name w:val="OC Bold"/>
    <w:basedOn w:val="Absatz-Standardschriftart"/>
    <w:semiHidden/>
    <w:rsid w:val="001835F7"/>
    <w:rPr>
      <w:b/>
    </w:rPr>
  </w:style>
  <w:style w:type="paragraph" w:customStyle="1" w:styleId="OCDDI">
    <w:name w:val="OC DDI"/>
    <w:basedOn w:val="Standard"/>
    <w:semiHidden/>
    <w:rsid w:val="001835F7"/>
    <w:pPr>
      <w:keepNext/>
      <w:tabs>
        <w:tab w:val="left" w:pos="227"/>
      </w:tabs>
      <w:overflowPunct/>
      <w:autoSpaceDE/>
      <w:autoSpaceDN/>
      <w:adjustRightInd/>
      <w:spacing w:before="0" w:after="0"/>
      <w:ind w:left="11"/>
      <w:jc w:val="left"/>
      <w:textAlignment w:val="auto"/>
    </w:pPr>
    <w:rPr>
      <w:rFonts w:ascii="Arial" w:eastAsia="Times New Roman" w:hAnsi="Arial" w:cs="Times New Roman"/>
      <w:noProof/>
      <w:szCs w:val="24"/>
      <w:lang w:val="en-GB" w:eastAsia="en-GB"/>
    </w:rPr>
  </w:style>
  <w:style w:type="paragraph" w:customStyle="1" w:styleId="OCStandard">
    <w:name w:val="OC Standard"/>
    <w:basedOn w:val="Standard"/>
    <w:semiHidden/>
    <w:rsid w:val="001835F7"/>
    <w:pPr>
      <w:overflowPunct/>
      <w:autoSpaceDE/>
      <w:autoSpaceDN/>
      <w:adjustRightInd/>
      <w:spacing w:before="0" w:after="0" w:line="240" w:lineRule="auto"/>
      <w:jc w:val="left"/>
      <w:textAlignment w:val="auto"/>
    </w:pPr>
    <w:rPr>
      <w:rFonts w:ascii="Arial" w:eastAsia="Times New Roman" w:hAnsi="Arial" w:cs="Times New Roman"/>
      <w:noProof/>
      <w:szCs w:val="24"/>
      <w:lang w:val="en-GB" w:eastAsia="en-GB"/>
    </w:rPr>
  </w:style>
  <w:style w:type="paragraph" w:customStyle="1" w:styleId="OCHeading">
    <w:name w:val="OC Heading"/>
    <w:basedOn w:val="OCStandard"/>
    <w:semiHidden/>
    <w:qFormat/>
    <w:rsid w:val="001835F7"/>
    <w:pPr>
      <w:spacing w:after="120"/>
      <w:contextualSpacing/>
    </w:pPr>
    <w:rPr>
      <w:b/>
    </w:rPr>
  </w:style>
  <w:style w:type="character" w:customStyle="1" w:styleId="hljs-type">
    <w:name w:val="hljs-type"/>
    <w:basedOn w:val="Absatz-Standardschriftart"/>
    <w:rsid w:val="00E22171"/>
  </w:style>
  <w:style w:type="character" w:customStyle="1" w:styleId="hljs-variable">
    <w:name w:val="hljs-variable"/>
    <w:basedOn w:val="Absatz-Standardschriftart"/>
    <w:rsid w:val="00E22171"/>
  </w:style>
  <w:style w:type="character" w:customStyle="1" w:styleId="hljs-operator">
    <w:name w:val="hljs-operator"/>
    <w:basedOn w:val="Absatz-Standardschriftart"/>
    <w:rsid w:val="00E22171"/>
  </w:style>
  <w:style w:type="character" w:customStyle="1" w:styleId="hljs-number">
    <w:name w:val="hljs-number"/>
    <w:basedOn w:val="Absatz-Standardschriftart"/>
    <w:rsid w:val="00E22171"/>
  </w:style>
  <w:style w:type="character" w:customStyle="1" w:styleId="hljs-builtin">
    <w:name w:val="hljs-built_in"/>
    <w:basedOn w:val="Absatz-Standardschriftart"/>
    <w:rsid w:val="00E22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png"/><Relationship Id="rId12" Type="http://schemas.microsoft.com/office/2018/08/relationships/commentsExtensible" Target="commentsExtensible.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813C54DD0C450FA030BD1D73AE950E"/>
        <w:category>
          <w:name w:val="General"/>
          <w:gallery w:val="placeholder"/>
        </w:category>
        <w:types>
          <w:type w:val="bbPlcHdr"/>
        </w:types>
        <w:behaviors>
          <w:behavior w:val="content"/>
        </w:behaviors>
        <w:guid w:val="{4E1A5348-9FD8-4051-80BE-F0A62BE09CB2}"/>
      </w:docPartPr>
      <w:docPartBody>
        <w:p w:rsidR="00135E54" w:rsidRDefault="00135E54"/>
      </w:docPartBody>
    </w:docPart>
    <w:docPart>
      <w:docPartPr>
        <w:name w:val="E717233DE6DF47E8AB01A85E0627FE4A"/>
        <w:category>
          <w:name w:val="General"/>
          <w:gallery w:val="placeholder"/>
        </w:category>
        <w:types>
          <w:type w:val="bbPlcHdr"/>
        </w:types>
        <w:behaviors>
          <w:behavior w:val="content"/>
        </w:behaviors>
        <w:guid w:val="{824A191B-9C60-4A44-AE0D-19C2BD4383E7}"/>
      </w:docPartPr>
      <w:docPartBody>
        <w:p w:rsidR="00135E54" w:rsidRDefault="00135E54"/>
      </w:docPartBody>
    </w:docPart>
    <w:docPart>
      <w:docPartPr>
        <w:name w:val="46BCF5699DD84DE3BA0FEC8411D4BF48"/>
        <w:category>
          <w:name w:val="General"/>
          <w:gallery w:val="placeholder"/>
        </w:category>
        <w:types>
          <w:type w:val="bbPlcHdr"/>
        </w:types>
        <w:behaviors>
          <w:behavior w:val="content"/>
        </w:behaviors>
        <w:guid w:val="{F84176DF-C3AD-447C-9889-024508BEB679}"/>
      </w:docPartPr>
      <w:docPartBody>
        <w:p w:rsidR="00135E54" w:rsidRDefault="00135E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Bold">
    <w:altName w:val="MV Boli"/>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54"/>
    <w:rsid w:val="000961BE"/>
    <w:rsid w:val="0009650D"/>
    <w:rsid w:val="00135E54"/>
    <w:rsid w:val="00145EED"/>
    <w:rsid w:val="002966A5"/>
    <w:rsid w:val="002B498A"/>
    <w:rsid w:val="00321B6F"/>
    <w:rsid w:val="00355A01"/>
    <w:rsid w:val="004C289A"/>
    <w:rsid w:val="006E378D"/>
    <w:rsid w:val="00B1106C"/>
    <w:rsid w:val="00B95684"/>
    <w:rsid w:val="00C31E53"/>
    <w:rsid w:val="00C32593"/>
    <w:rsid w:val="00D44FBC"/>
    <w:rsid w:val="00ED3B56"/>
    <w:rsid w:val="00EE7D76"/>
    <w:rsid w:val="00F66A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C Theme">
  <a:themeElements>
    <a:clrScheme name="OC Colours">
      <a:dk1>
        <a:sysClr val="windowText" lastClr="000000"/>
      </a:dk1>
      <a:lt1>
        <a:srgbClr val="FFFFFF"/>
      </a:lt1>
      <a:dk2>
        <a:srgbClr val="003145"/>
      </a:dk2>
      <a:lt2>
        <a:srgbClr val="FFFFFF"/>
      </a:lt2>
      <a:accent1>
        <a:srgbClr val="5EB9CF"/>
      </a:accent1>
      <a:accent2>
        <a:srgbClr val="A8A8A8"/>
      </a:accent2>
      <a:accent3>
        <a:srgbClr val="75B39D"/>
      </a:accent3>
      <a:accent4>
        <a:srgbClr val="891B2D"/>
      </a:accent4>
      <a:accent5>
        <a:srgbClr val="5C6224"/>
      </a:accent5>
      <a:accent6>
        <a:srgbClr val="136F55"/>
      </a:accent6>
      <a:hlink>
        <a:srgbClr val="0000FF"/>
      </a:hlink>
      <a:folHlink>
        <a:srgbClr val="800080"/>
      </a:folHlink>
    </a:clrScheme>
    <a:fontScheme name="O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15886</Words>
  <Characters>100089</Characters>
  <Application>Microsoft Office Word</Application>
  <DocSecurity>0</DocSecurity>
  <Lines>834</Lines>
  <Paragraphs>231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Dennis Monner</cp:lastModifiedBy>
  <cp:revision>3</cp:revision>
  <cp:lastPrinted>2025-12-24T13:46:00Z</cp:lastPrinted>
  <dcterms:created xsi:type="dcterms:W3CDTF">2025-12-24T13:45:00Z</dcterms:created>
  <dcterms:modified xsi:type="dcterms:W3CDTF">2025-12-24T13:46:00Z</dcterms:modified>
</cp:coreProperties>
</file>